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C8FC72" w14:textId="53DDA1C8" w:rsidR="00CB4AA7" w:rsidRPr="00A644C1" w:rsidRDefault="00A644C1" w:rsidP="00A644C1">
      <w:pPr>
        <w:spacing w:before="240"/>
        <w:jc w:val="center"/>
        <w:rPr>
          <w:b/>
          <w:bCs/>
          <w:noProof w:val="0"/>
        </w:rPr>
      </w:pPr>
      <w:r w:rsidRPr="00A644C1">
        <w:rPr>
          <w:b/>
          <w:bCs/>
          <w:noProof w:val="0"/>
        </w:rPr>
        <w:t>Donor behavior of the Romanian Diaspora in the USA</w:t>
      </w:r>
    </w:p>
    <w:p w14:paraId="6E0ADDAD" w14:textId="4CA889E8" w:rsidR="00A644C1" w:rsidRDefault="00A644C1" w:rsidP="00A644C1">
      <w:pPr>
        <w:spacing w:before="240"/>
        <w:jc w:val="center"/>
        <w:rPr>
          <w:noProof w:val="0"/>
        </w:rPr>
      </w:pPr>
      <w:r>
        <w:rPr>
          <w:noProof w:val="0"/>
        </w:rPr>
        <w:t xml:space="preserve">– an analysis </w:t>
      </w:r>
      <w:r w:rsidRPr="00A644C1">
        <w:rPr>
          <w:noProof w:val="0"/>
        </w:rPr>
        <w:t>commissioned</w:t>
      </w:r>
      <w:r>
        <w:rPr>
          <w:noProof w:val="0"/>
        </w:rPr>
        <w:t xml:space="preserve"> by RUF –</w:t>
      </w:r>
    </w:p>
    <w:p w14:paraId="01801DB6" w14:textId="77777777" w:rsidR="00A644C1" w:rsidRDefault="00A644C1" w:rsidP="00A644C1">
      <w:pPr>
        <w:spacing w:before="240"/>
        <w:rPr>
          <w:noProof w:val="0"/>
        </w:rPr>
      </w:pPr>
    </w:p>
    <w:p w14:paraId="1A16861A" w14:textId="78945842" w:rsidR="00A745A2" w:rsidRPr="00F8586C" w:rsidRDefault="00A745A2" w:rsidP="00A745A2">
      <w:pPr>
        <w:spacing w:before="240"/>
        <w:ind w:firstLine="720"/>
        <w:rPr>
          <w:noProof w:val="0"/>
        </w:rPr>
      </w:pPr>
      <w:r w:rsidRPr="00F8586C">
        <w:rPr>
          <w:noProof w:val="0"/>
        </w:rPr>
        <w:t xml:space="preserve">As </w:t>
      </w:r>
      <w:r w:rsidRPr="00A745A2">
        <w:rPr>
          <w:noProof w:val="0"/>
        </w:rPr>
        <w:t>disposable income increased by 4.3 percent compared to 2018</w:t>
      </w:r>
      <w:r w:rsidRPr="00F8586C">
        <w:rPr>
          <w:noProof w:val="0"/>
        </w:rPr>
        <w:t xml:space="preserve"> the share of i</w:t>
      </w:r>
      <w:r w:rsidR="00CB4AA7" w:rsidRPr="00F8586C">
        <w:rPr>
          <w:noProof w:val="0"/>
        </w:rPr>
        <w:t>ndividual giving in the USA total giving</w:t>
      </w:r>
      <w:r w:rsidRPr="00F8586C">
        <w:rPr>
          <w:noProof w:val="0"/>
        </w:rPr>
        <w:t xml:space="preserve"> reached the largest dollar total to date in 2019. Increasing by 4.2% compared to 2018, g</w:t>
      </w:r>
      <w:r w:rsidR="00CB4AA7" w:rsidRPr="00CB4AA7">
        <w:rPr>
          <w:noProof w:val="0"/>
        </w:rPr>
        <w:t>iving by individuals</w:t>
      </w:r>
      <w:r w:rsidR="00CB4AA7" w:rsidRPr="00CB4AA7">
        <w:rPr>
          <w:b/>
          <w:bCs/>
          <w:noProof w:val="0"/>
        </w:rPr>
        <w:t xml:space="preserve"> </w:t>
      </w:r>
      <w:r w:rsidR="00CB4AA7" w:rsidRPr="00CB4AA7">
        <w:rPr>
          <w:noProof w:val="0"/>
        </w:rPr>
        <w:t xml:space="preserve">totaled an estimated </w:t>
      </w:r>
      <w:r w:rsidRPr="00F8586C">
        <w:rPr>
          <w:noProof w:val="0"/>
        </w:rPr>
        <w:t>$309.66 billion</w:t>
      </w:r>
      <w:r w:rsidR="00CB4AA7" w:rsidRPr="00F8586C">
        <w:rPr>
          <w:rStyle w:val="FootnoteReference"/>
          <w:noProof w:val="0"/>
        </w:rPr>
        <w:footnoteReference w:id="1"/>
      </w:r>
      <w:r w:rsidRPr="00F8586C">
        <w:rPr>
          <w:noProof w:val="0"/>
        </w:rPr>
        <w:t xml:space="preserve">. It accounted for 69% </w:t>
      </w:r>
      <w:r w:rsidR="00CB4AA7" w:rsidRPr="00F8586C">
        <w:rPr>
          <w:noProof w:val="0"/>
        </w:rPr>
        <w:t xml:space="preserve">out of the total of </w:t>
      </w:r>
      <w:r w:rsidRPr="00F8586C">
        <w:rPr>
          <w:noProof w:val="0"/>
        </w:rPr>
        <w:t xml:space="preserve">$449.64 billion </w:t>
      </w:r>
      <w:r w:rsidR="00CB4AA7" w:rsidRPr="00F8586C">
        <w:rPr>
          <w:noProof w:val="0"/>
        </w:rPr>
        <w:t>that Americans have donated to charities</w:t>
      </w:r>
      <w:r w:rsidRPr="00F8586C">
        <w:rPr>
          <w:noProof w:val="0"/>
        </w:rPr>
        <w:t xml:space="preserve"> in 2019</w:t>
      </w:r>
      <w:r w:rsidR="00CB4AA7" w:rsidRPr="00F8586C">
        <w:rPr>
          <w:noProof w:val="0"/>
        </w:rPr>
        <w:t xml:space="preserve">. </w:t>
      </w:r>
      <w:r w:rsidRPr="00F8586C">
        <w:rPr>
          <w:noProof w:val="0"/>
        </w:rPr>
        <w:t>The largest recipient</w:t>
      </w:r>
      <w:r w:rsidR="003D5D09">
        <w:rPr>
          <w:noProof w:val="0"/>
        </w:rPr>
        <w:t>s</w:t>
      </w:r>
      <w:r w:rsidRPr="00F8586C">
        <w:rPr>
          <w:noProof w:val="0"/>
        </w:rPr>
        <w:t xml:space="preserve"> of charitable contributions continue to be religious organizations, receiving 29% of </w:t>
      </w:r>
      <w:r w:rsidR="003D5D09">
        <w:rPr>
          <w:noProof w:val="0"/>
        </w:rPr>
        <w:t xml:space="preserve">the </w:t>
      </w:r>
      <w:r w:rsidRPr="00F8586C">
        <w:rPr>
          <w:noProof w:val="0"/>
        </w:rPr>
        <w:t>total giving in 2019</w:t>
      </w:r>
      <w:r w:rsidRPr="00F8586C">
        <w:rPr>
          <w:rStyle w:val="FootnoteReference"/>
          <w:noProof w:val="0"/>
        </w:rPr>
        <w:footnoteReference w:id="2"/>
      </w:r>
      <w:r w:rsidRPr="00F8586C">
        <w:rPr>
          <w:noProof w:val="0"/>
        </w:rPr>
        <w:t>.</w:t>
      </w:r>
    </w:p>
    <w:p w14:paraId="2A7CA06C" w14:textId="2E6D7199" w:rsidR="003D5D09" w:rsidRDefault="00CB4AA7" w:rsidP="00A644C1">
      <w:pPr>
        <w:spacing w:before="240"/>
        <w:ind w:firstLine="720"/>
        <w:rPr>
          <w:noProof w:val="0"/>
        </w:rPr>
      </w:pPr>
      <w:r w:rsidRPr="00F8586C">
        <w:rPr>
          <w:noProof w:val="0"/>
        </w:rPr>
        <w:t>These figures indicate the sheer magnitude and power of individual giving in America.</w:t>
      </w:r>
      <w:r w:rsidR="00A745A2" w:rsidRPr="00F8586C">
        <w:rPr>
          <w:noProof w:val="0"/>
        </w:rPr>
        <w:t xml:space="preserve"> However, studies on individual giving do not take into consideration ancestry or cultural heritage which can be an </w:t>
      </w:r>
      <w:r w:rsidR="003D5D09" w:rsidRPr="00F8586C">
        <w:rPr>
          <w:noProof w:val="0"/>
        </w:rPr>
        <w:t>influencing</w:t>
      </w:r>
      <w:r w:rsidR="00A745A2" w:rsidRPr="00F8586C">
        <w:rPr>
          <w:noProof w:val="0"/>
        </w:rPr>
        <w:t xml:space="preserve"> factor when it comes to cross border giving, especially in the case of diasporas. This is also the case for the Romanian diaspora. </w:t>
      </w:r>
      <w:r w:rsidRPr="00F8586C">
        <w:rPr>
          <w:noProof w:val="0"/>
        </w:rPr>
        <w:t>According to the 2019 American Community Survey there are 251.700</w:t>
      </w:r>
      <w:r w:rsidRPr="00F8586C">
        <w:rPr>
          <w:rStyle w:val="FootnoteReference"/>
          <w:noProof w:val="0"/>
        </w:rPr>
        <w:footnoteReference w:id="3"/>
      </w:r>
      <w:r w:rsidRPr="00F8586C">
        <w:rPr>
          <w:noProof w:val="0"/>
        </w:rPr>
        <w:t xml:space="preserve"> individuals living in the US that have reported Romanian ancestry. </w:t>
      </w:r>
      <w:r w:rsidR="00045FB3">
        <w:rPr>
          <w:noProof w:val="0"/>
        </w:rPr>
        <w:t>T</w:t>
      </w:r>
      <w:r w:rsidR="00A644C1">
        <w:rPr>
          <w:noProof w:val="0"/>
        </w:rPr>
        <w:t>here is currently no overarching reliable information on the donor behavior of this group.</w:t>
      </w:r>
      <w:r w:rsidR="00045FB3">
        <w:rPr>
          <w:noProof w:val="0"/>
        </w:rPr>
        <w:t xml:space="preserve"> In addition, previous studies have examined a limited subset of the diaspora (the F</w:t>
      </w:r>
      <w:r w:rsidR="00045FB3">
        <w:rPr>
          <w:noProof w:val="0"/>
          <w:lang w:val="ro-RO"/>
        </w:rPr>
        <w:t>ă</w:t>
      </w:r>
      <w:proofErr w:type="spellStart"/>
      <w:r w:rsidR="00045FB3">
        <w:rPr>
          <w:noProof w:val="0"/>
        </w:rPr>
        <w:t>garaș</w:t>
      </w:r>
      <w:proofErr w:type="spellEnd"/>
      <w:r w:rsidR="00045FB3">
        <w:rPr>
          <w:noProof w:val="0"/>
        </w:rPr>
        <w:t xml:space="preserve"> diaspora</w:t>
      </w:r>
      <w:r w:rsidR="00902366">
        <w:rPr>
          <w:rStyle w:val="FootnoteReference"/>
          <w:noProof w:val="0"/>
        </w:rPr>
        <w:footnoteReference w:id="4"/>
      </w:r>
      <w:r w:rsidR="00045FB3">
        <w:rPr>
          <w:noProof w:val="0"/>
        </w:rPr>
        <w:t>) using social network analysis and qualitative methods (interviews and focus groups), but there are currently no studies on the larger diaspora with regards to donor behavior.</w:t>
      </w:r>
    </w:p>
    <w:p w14:paraId="0A78B6CA" w14:textId="0B76D4AA" w:rsidR="00A644C1" w:rsidRDefault="00A644C1" w:rsidP="00A644C1">
      <w:pPr>
        <w:spacing w:before="240"/>
        <w:ind w:firstLine="720"/>
        <w:rPr>
          <w:noProof w:val="0"/>
        </w:rPr>
      </w:pPr>
      <w:r>
        <w:rPr>
          <w:noProof w:val="0"/>
        </w:rPr>
        <w:t xml:space="preserve">In order to address this gap in knowledge that has both scientific and practical value, RUF intends to initiate a study similar to that developed by ARC in Romania, Trends in individual giving (2016). The study is </w:t>
      </w:r>
      <w:r w:rsidR="00CD48BA">
        <w:rPr>
          <w:noProof w:val="0"/>
        </w:rPr>
        <w:t xml:space="preserve">aimed at understanding why people donate, or conversely, why they do not donate, what causes they support, what types of charities they fund, what needs to change for them to become donors or to increase their donations, and what types of community services they see as lacking and </w:t>
      </w:r>
      <w:r w:rsidR="003D5D09">
        <w:rPr>
          <w:noProof w:val="0"/>
        </w:rPr>
        <w:t>requiring</w:t>
      </w:r>
      <w:r w:rsidR="00CD48BA">
        <w:rPr>
          <w:noProof w:val="0"/>
        </w:rPr>
        <w:t xml:space="preserve"> attention on behalf of NGOs.</w:t>
      </w:r>
      <w:r>
        <w:rPr>
          <w:noProof w:val="0"/>
        </w:rPr>
        <w:t xml:space="preserve"> </w:t>
      </w:r>
      <w:r w:rsidR="0069419C">
        <w:rPr>
          <w:noProof w:val="0"/>
        </w:rPr>
        <w:t>In the context of Romanian diaspora in the US, additional relevant aspects include the strength of the connection to Romania and their communities of origin and their donor behavior in relation to causes in Romania.</w:t>
      </w:r>
    </w:p>
    <w:p w14:paraId="1979FD8B" w14:textId="2F7D0E85" w:rsidR="00CB4AA7" w:rsidRDefault="00A644C1" w:rsidP="00A644C1">
      <w:pPr>
        <w:spacing w:before="240"/>
        <w:ind w:firstLine="720"/>
        <w:rPr>
          <w:noProof w:val="0"/>
        </w:rPr>
      </w:pPr>
      <w:r>
        <w:rPr>
          <w:noProof w:val="0"/>
        </w:rPr>
        <w:lastRenderedPageBreak/>
        <w:t>To achieve this, ARC proposes using the official</w:t>
      </w:r>
      <w:r w:rsidRPr="00F8586C">
        <w:rPr>
          <w:noProof w:val="0"/>
        </w:rPr>
        <w:t xml:space="preserve"> figure </w:t>
      </w:r>
      <w:r>
        <w:rPr>
          <w:noProof w:val="0"/>
        </w:rPr>
        <w:t xml:space="preserve">of the Census, which – while </w:t>
      </w:r>
      <w:r w:rsidRPr="00F8586C">
        <w:rPr>
          <w:noProof w:val="0"/>
        </w:rPr>
        <w:t xml:space="preserve">most likely </w:t>
      </w:r>
      <w:r>
        <w:rPr>
          <w:noProof w:val="0"/>
        </w:rPr>
        <w:t xml:space="preserve">undercounts and </w:t>
      </w:r>
      <w:r w:rsidRPr="00F8586C">
        <w:rPr>
          <w:noProof w:val="0"/>
        </w:rPr>
        <w:t>underreports the number of individuals with Romanian heritage</w:t>
      </w:r>
      <w:r>
        <w:rPr>
          <w:noProof w:val="0"/>
        </w:rPr>
        <w:t xml:space="preserve"> – </w:t>
      </w:r>
      <w:r w:rsidRPr="00F8586C">
        <w:rPr>
          <w:noProof w:val="0"/>
        </w:rPr>
        <w:t>combined with geographic distribution data can be used to develop a sample that can allow the analysis of the donor behavior among the Romanian Diaspora members across the USA.</w:t>
      </w:r>
      <w:r>
        <w:rPr>
          <w:noProof w:val="0"/>
        </w:rPr>
        <w:t xml:space="preserve"> The constructed sample</w:t>
      </w:r>
      <w:r>
        <w:rPr>
          <w:rStyle w:val="FootnoteReference"/>
          <w:noProof w:val="0"/>
        </w:rPr>
        <w:footnoteReference w:id="5"/>
      </w:r>
      <w:r>
        <w:rPr>
          <w:noProof w:val="0"/>
        </w:rPr>
        <w:t xml:space="preserve"> can then approximate the distribution of the diaspora across the US, ensuring that responses are not predominantly coming from one part or the other of the USA, as variation in giving may be possible within geographic areas, between 1</w:t>
      </w:r>
      <w:r w:rsidRPr="003D5D09">
        <w:rPr>
          <w:noProof w:val="0"/>
          <w:vertAlign w:val="superscript"/>
        </w:rPr>
        <w:t>st</w:t>
      </w:r>
      <w:r>
        <w:rPr>
          <w:noProof w:val="0"/>
        </w:rPr>
        <w:t xml:space="preserve"> generation and 2</w:t>
      </w:r>
      <w:r w:rsidRPr="003D5D09">
        <w:rPr>
          <w:noProof w:val="0"/>
          <w:vertAlign w:val="superscript"/>
        </w:rPr>
        <w:t>nd</w:t>
      </w:r>
      <w:r>
        <w:rPr>
          <w:noProof w:val="0"/>
        </w:rPr>
        <w:t xml:space="preserve"> generation Romanian Americans</w:t>
      </w:r>
      <w:r w:rsidR="0069419C">
        <w:rPr>
          <w:noProof w:val="0"/>
        </w:rPr>
        <w:t>, time spent in the US, reason for emigration,</w:t>
      </w:r>
      <w:r>
        <w:rPr>
          <w:noProof w:val="0"/>
        </w:rPr>
        <w:t xml:space="preserve"> and so on.</w:t>
      </w:r>
    </w:p>
    <w:p w14:paraId="2BB920D4" w14:textId="6BAFC19A" w:rsidR="00734528" w:rsidRDefault="00A644C1" w:rsidP="00734528">
      <w:pPr>
        <w:spacing w:before="240"/>
        <w:ind w:firstLine="720"/>
        <w:rPr>
          <w:noProof w:val="0"/>
        </w:rPr>
      </w:pPr>
      <w:r>
        <w:rPr>
          <w:noProof w:val="0"/>
        </w:rPr>
        <w:t>The minimum required sample size for the known population is 385</w:t>
      </w:r>
      <w:r>
        <w:rPr>
          <w:rStyle w:val="FootnoteReference"/>
          <w:noProof w:val="0"/>
        </w:rPr>
        <w:footnoteReference w:id="6"/>
      </w:r>
      <w:r>
        <w:rPr>
          <w:noProof w:val="0"/>
        </w:rPr>
        <w:t>. The data will be collected using an online survey administered through SurveyMonkey to Romanians that are members of Romanian organizations / associations across the USA, or that are in contact with these organizations or the church. Questionnaire items will be based on ARC’s 2016 study, adapted to the American context and the RUF’s objectives. The analyses will be performed using SPSS statistical analysis software. The results will enable RUF to increase and improve its fundraising activities and to develop community programs that respond to the needs of the diaspora.</w:t>
      </w:r>
    </w:p>
    <w:p w14:paraId="50A320D0" w14:textId="2896C62C" w:rsidR="00045FB3" w:rsidRDefault="00045FB3" w:rsidP="00045FB3">
      <w:pPr>
        <w:spacing w:before="240"/>
        <w:ind w:firstLine="720"/>
        <w:rPr>
          <w:noProof w:val="0"/>
        </w:rPr>
      </w:pPr>
      <w:r>
        <w:rPr>
          <w:noProof w:val="0"/>
        </w:rPr>
        <w:t xml:space="preserve">The </w:t>
      </w:r>
      <w:r>
        <w:rPr>
          <w:noProof w:val="0"/>
        </w:rPr>
        <w:t xml:space="preserve">insights from the </w:t>
      </w:r>
      <w:r>
        <w:rPr>
          <w:noProof w:val="0"/>
        </w:rPr>
        <w:t>quantit</w:t>
      </w:r>
      <w:r>
        <w:rPr>
          <w:noProof w:val="0"/>
        </w:rPr>
        <w:t>at</w:t>
      </w:r>
      <w:r>
        <w:rPr>
          <w:noProof w:val="0"/>
        </w:rPr>
        <w:t xml:space="preserve">ive data </w:t>
      </w:r>
      <w:r>
        <w:rPr>
          <w:noProof w:val="0"/>
        </w:rPr>
        <w:t xml:space="preserve">will be combined with results from qualitative analyses (interviews with key stakeholders / gatekeepers / knowledge holders, as well as focus groups with selected individuals). This will allow to 1)confirm findings form the quantitative analyses and </w:t>
      </w:r>
      <w:r>
        <w:rPr>
          <w:noProof w:val="0"/>
        </w:rPr>
        <w:t>increase the validity of the findings</w:t>
      </w:r>
      <w:r>
        <w:rPr>
          <w:noProof w:val="0"/>
        </w:rPr>
        <w:t>, 2)contextualize data, 3)add in depth understanding of the mechanisms behind behavior, and 4)provide additional rich information that can increase the utility of numerical data.</w:t>
      </w:r>
    </w:p>
    <w:p w14:paraId="2613791A" w14:textId="2D09FBC9" w:rsidR="002C3283" w:rsidRDefault="00A644C1" w:rsidP="00045FB3">
      <w:pPr>
        <w:spacing w:before="240"/>
        <w:ind w:firstLine="720"/>
        <w:rPr>
          <w:noProof w:val="0"/>
        </w:rPr>
      </w:pPr>
      <w:r>
        <w:rPr>
          <w:noProof w:val="0"/>
        </w:rPr>
        <w:t>Costs associated with the study vary depending on the objectives of the study, the type of the desired sample (representative vs. approximating the population), data collection methods (CATI</w:t>
      </w:r>
      <w:r>
        <w:rPr>
          <w:rStyle w:val="FootnoteReference"/>
          <w:noProof w:val="0"/>
        </w:rPr>
        <w:footnoteReference w:id="7"/>
      </w:r>
      <w:r>
        <w:rPr>
          <w:noProof w:val="0"/>
        </w:rPr>
        <w:t xml:space="preserve"> vs online surveys), whether data collection is performed by ARC or another entity, whether data cleaning / management is performed by ARC or another entity (e.g. US-based market research agency), whether </w:t>
      </w:r>
      <w:r w:rsidR="007D43F0">
        <w:rPr>
          <w:noProof w:val="0"/>
        </w:rPr>
        <w:t>data analysis / report development is performed by ARC or by another entity.</w:t>
      </w:r>
    </w:p>
    <w:p w14:paraId="606AD965" w14:textId="77777777" w:rsidR="00045FB3" w:rsidRDefault="00045FB3">
      <w:pPr>
        <w:rPr>
          <w:b/>
          <w:bCs/>
          <w:noProof w:val="0"/>
        </w:rPr>
      </w:pPr>
      <w:r>
        <w:rPr>
          <w:b/>
          <w:bCs/>
          <w:noProof w:val="0"/>
        </w:rPr>
        <w:br w:type="page"/>
      </w:r>
    </w:p>
    <w:p w14:paraId="4161B2B4" w14:textId="363D1567" w:rsidR="007D43F0" w:rsidRPr="004A6570" w:rsidRDefault="007D43F0" w:rsidP="002C3283">
      <w:pPr>
        <w:spacing w:before="240"/>
        <w:rPr>
          <w:b/>
          <w:bCs/>
          <w:noProof w:val="0"/>
        </w:rPr>
      </w:pPr>
      <w:r w:rsidRPr="004A6570">
        <w:rPr>
          <w:b/>
          <w:bCs/>
          <w:noProof w:val="0"/>
        </w:rPr>
        <w:lastRenderedPageBreak/>
        <w:t>Options</w:t>
      </w:r>
    </w:p>
    <w:p w14:paraId="482AAF66" w14:textId="435B425C" w:rsidR="00045FB3" w:rsidRPr="00DA2EAE" w:rsidRDefault="007D43F0" w:rsidP="007D43F0">
      <w:pPr>
        <w:spacing w:before="240"/>
        <w:rPr>
          <w:noProof w:val="0"/>
          <w:u w:val="single"/>
        </w:rPr>
      </w:pPr>
      <w:r w:rsidRPr="00DA2EAE">
        <w:rPr>
          <w:noProof w:val="0"/>
          <w:u w:val="single"/>
        </w:rPr>
        <w:t xml:space="preserve">Option </w:t>
      </w:r>
      <w:r w:rsidR="00045FB3" w:rsidRPr="00DA2EAE">
        <w:rPr>
          <w:noProof w:val="0"/>
          <w:u w:val="single"/>
        </w:rPr>
        <w:t>1</w:t>
      </w:r>
      <w:r w:rsidRPr="00DA2EAE">
        <w:rPr>
          <w:noProof w:val="0"/>
          <w:u w:val="single"/>
        </w:rPr>
        <w:t xml:space="preserve">: </w:t>
      </w:r>
      <w:r w:rsidR="00045FB3" w:rsidRPr="00DA2EAE">
        <w:rPr>
          <w:noProof w:val="0"/>
          <w:u w:val="single"/>
        </w:rPr>
        <w:t>Quantitative study (good option for large scale reliable and generalizable results)</w:t>
      </w:r>
    </w:p>
    <w:p w14:paraId="2F273EBD" w14:textId="3686174F" w:rsidR="00DA2EAE" w:rsidRDefault="00045FB3" w:rsidP="00045FB3">
      <w:pPr>
        <w:spacing w:before="240"/>
        <w:ind w:left="720"/>
        <w:rPr>
          <w:noProof w:val="0"/>
        </w:rPr>
      </w:pPr>
      <w:r>
        <w:rPr>
          <w:noProof w:val="0"/>
        </w:rPr>
        <w:t>1.a. S</w:t>
      </w:r>
      <w:r w:rsidR="007D43F0">
        <w:rPr>
          <w:noProof w:val="0"/>
        </w:rPr>
        <w:t>tudy design, sampling, data cleaning / management &amp; analysis, report writing performed by ARC &amp; partners</w:t>
      </w:r>
      <w:r w:rsidR="00DA2EAE">
        <w:rPr>
          <w:noProof w:val="0"/>
        </w:rPr>
        <w:t xml:space="preserve">. Data collection performed </w:t>
      </w:r>
      <w:r w:rsidR="00DA2EAE" w:rsidRPr="00DA2EAE">
        <w:rPr>
          <w:i/>
          <w:iCs/>
          <w:noProof w:val="0"/>
        </w:rPr>
        <w:t>with the aid of RUF</w:t>
      </w:r>
      <w:r w:rsidR="00DA2EAE">
        <w:rPr>
          <w:noProof w:val="0"/>
        </w:rPr>
        <w:t>.</w:t>
      </w:r>
    </w:p>
    <w:p w14:paraId="2876590E" w14:textId="612DA531" w:rsidR="007D43F0" w:rsidRDefault="00717DF5" w:rsidP="00045FB3">
      <w:pPr>
        <w:spacing w:before="240"/>
        <w:ind w:left="720"/>
        <w:rPr>
          <w:noProof w:val="0"/>
        </w:rPr>
      </w:pPr>
      <w:r w:rsidRPr="00045FB3">
        <w:rPr>
          <w:b/>
          <w:bCs/>
          <w:noProof w:val="0"/>
        </w:rPr>
        <w:t>15000</w:t>
      </w:r>
      <w:r w:rsidR="007D43F0" w:rsidRPr="00045FB3">
        <w:rPr>
          <w:b/>
          <w:bCs/>
          <w:noProof w:val="0"/>
        </w:rPr>
        <w:t xml:space="preserve"> EUR</w:t>
      </w:r>
      <w:r w:rsidR="00045FB3">
        <w:rPr>
          <w:b/>
          <w:bCs/>
          <w:noProof w:val="0"/>
        </w:rPr>
        <w:t xml:space="preserve"> + VAT</w:t>
      </w:r>
    </w:p>
    <w:p w14:paraId="326841F4" w14:textId="77777777" w:rsidR="00DA2EAE" w:rsidRDefault="00045FB3" w:rsidP="00045FB3">
      <w:pPr>
        <w:spacing w:before="240"/>
        <w:ind w:left="720"/>
        <w:rPr>
          <w:noProof w:val="0"/>
        </w:rPr>
      </w:pPr>
      <w:r>
        <w:rPr>
          <w:noProof w:val="0"/>
        </w:rPr>
        <w:t>1.b. S</w:t>
      </w:r>
      <w:r w:rsidR="007D43F0">
        <w:rPr>
          <w:noProof w:val="0"/>
        </w:rPr>
        <w:t>tudy design, sampling, report writing performed by ARC *&amp; partners</w:t>
      </w:r>
      <w:r w:rsidR="00DA2EAE">
        <w:rPr>
          <w:noProof w:val="0"/>
        </w:rPr>
        <w:t>. D</w:t>
      </w:r>
      <w:r w:rsidR="007D43F0">
        <w:rPr>
          <w:noProof w:val="0"/>
        </w:rPr>
        <w:t xml:space="preserve">ata collection performed </w:t>
      </w:r>
      <w:r w:rsidR="007D43F0" w:rsidRPr="00DA2EAE">
        <w:rPr>
          <w:i/>
          <w:iCs/>
          <w:noProof w:val="0"/>
        </w:rPr>
        <w:t>by RUF</w:t>
      </w:r>
      <w:r w:rsidR="00717DF5">
        <w:rPr>
          <w:noProof w:val="0"/>
        </w:rPr>
        <w:t xml:space="preserve"> with instrument provided by ARC</w:t>
      </w:r>
      <w:r w:rsidR="00DA2EAE">
        <w:rPr>
          <w:noProof w:val="0"/>
        </w:rPr>
        <w:t>. D</w:t>
      </w:r>
      <w:r w:rsidR="00717DF5">
        <w:rPr>
          <w:noProof w:val="0"/>
        </w:rPr>
        <w:t>ata cleaning / management &amp; analysis by ARC *&amp; partners</w:t>
      </w:r>
      <w:r w:rsidR="00DA2EAE">
        <w:rPr>
          <w:noProof w:val="0"/>
        </w:rPr>
        <w:t>.</w:t>
      </w:r>
    </w:p>
    <w:p w14:paraId="76B90F96" w14:textId="720428C9" w:rsidR="007D43F0" w:rsidRDefault="00717DF5" w:rsidP="00045FB3">
      <w:pPr>
        <w:spacing w:before="240"/>
        <w:ind w:left="720"/>
        <w:rPr>
          <w:noProof w:val="0"/>
        </w:rPr>
      </w:pPr>
      <w:r w:rsidRPr="00045FB3">
        <w:rPr>
          <w:b/>
          <w:bCs/>
          <w:noProof w:val="0"/>
        </w:rPr>
        <w:t>1</w:t>
      </w:r>
      <w:r w:rsidR="002C52E3">
        <w:rPr>
          <w:b/>
          <w:bCs/>
          <w:noProof w:val="0"/>
        </w:rPr>
        <w:t>1</w:t>
      </w:r>
      <w:r w:rsidRPr="00045FB3">
        <w:rPr>
          <w:b/>
          <w:bCs/>
          <w:noProof w:val="0"/>
        </w:rPr>
        <w:t>000</w:t>
      </w:r>
      <w:r w:rsidR="007D43F0" w:rsidRPr="00045FB3">
        <w:rPr>
          <w:b/>
          <w:bCs/>
          <w:noProof w:val="0"/>
        </w:rPr>
        <w:t xml:space="preserve"> EUR</w:t>
      </w:r>
      <w:r w:rsidR="00045FB3">
        <w:rPr>
          <w:b/>
          <w:bCs/>
          <w:noProof w:val="0"/>
        </w:rPr>
        <w:t xml:space="preserve"> + VAT</w:t>
      </w:r>
    </w:p>
    <w:p w14:paraId="5E629967" w14:textId="7DA54B49" w:rsidR="00045FB3" w:rsidRPr="00DA2EAE" w:rsidRDefault="00045FB3" w:rsidP="00045FB3">
      <w:pPr>
        <w:spacing w:before="240"/>
        <w:rPr>
          <w:noProof w:val="0"/>
          <w:u w:val="single"/>
        </w:rPr>
      </w:pPr>
      <w:r w:rsidRPr="00DA2EAE">
        <w:rPr>
          <w:noProof w:val="0"/>
          <w:u w:val="single"/>
        </w:rPr>
        <w:t>Option 2: Mixed methods study (most comprehensive)</w:t>
      </w:r>
    </w:p>
    <w:p w14:paraId="757810D9" w14:textId="1A2B41EE" w:rsidR="00DA2EAE" w:rsidRDefault="00045FB3" w:rsidP="00045FB3">
      <w:pPr>
        <w:spacing w:before="240"/>
        <w:ind w:left="720"/>
        <w:rPr>
          <w:noProof w:val="0"/>
        </w:rPr>
      </w:pPr>
      <w:r>
        <w:rPr>
          <w:noProof w:val="0"/>
        </w:rPr>
        <w:t>2</w:t>
      </w:r>
      <w:r>
        <w:rPr>
          <w:noProof w:val="0"/>
        </w:rPr>
        <w:t>.a. Study design</w:t>
      </w:r>
      <w:r w:rsidR="00DA2EAE">
        <w:rPr>
          <w:noProof w:val="0"/>
        </w:rPr>
        <w:t xml:space="preserve"> &amp; sampling developed by ARC</w:t>
      </w:r>
      <w:r>
        <w:rPr>
          <w:noProof w:val="0"/>
        </w:rPr>
        <w:t xml:space="preserve"> </w:t>
      </w:r>
      <w:r w:rsidR="00DA2EAE">
        <w:rPr>
          <w:noProof w:val="0"/>
        </w:rPr>
        <w:t>. I</w:t>
      </w:r>
      <w:r>
        <w:rPr>
          <w:noProof w:val="0"/>
        </w:rPr>
        <w:t xml:space="preserve">nterviews and focus groups conducted by ARC &amp; Partners with the </w:t>
      </w:r>
      <w:r w:rsidRPr="002C52E3">
        <w:rPr>
          <w:i/>
          <w:iCs/>
          <w:noProof w:val="0"/>
        </w:rPr>
        <w:t>aid of RUF</w:t>
      </w:r>
      <w:r w:rsidR="00DA2EAE">
        <w:rPr>
          <w:noProof w:val="0"/>
        </w:rPr>
        <w:t>. D</w:t>
      </w:r>
      <w:r w:rsidR="00DA2EAE">
        <w:rPr>
          <w:noProof w:val="0"/>
        </w:rPr>
        <w:t>ata collection / cleaning / management &amp; analysis</w:t>
      </w:r>
      <w:r w:rsidR="00DA2EAE">
        <w:rPr>
          <w:noProof w:val="0"/>
        </w:rPr>
        <w:t xml:space="preserve"> as well as </w:t>
      </w:r>
      <w:r>
        <w:rPr>
          <w:noProof w:val="0"/>
        </w:rPr>
        <w:t>report writing performed by ARC &amp; partners</w:t>
      </w:r>
      <w:r w:rsidR="00DA2EAE">
        <w:rPr>
          <w:noProof w:val="0"/>
        </w:rPr>
        <w:t>.</w:t>
      </w:r>
    </w:p>
    <w:p w14:paraId="789DB9DD" w14:textId="5BD0D494" w:rsidR="00045FB3" w:rsidRDefault="00045FB3" w:rsidP="00045FB3">
      <w:pPr>
        <w:spacing w:before="240"/>
        <w:ind w:left="720"/>
        <w:rPr>
          <w:noProof w:val="0"/>
        </w:rPr>
      </w:pPr>
      <w:r w:rsidRPr="00045FB3">
        <w:rPr>
          <w:b/>
          <w:bCs/>
          <w:noProof w:val="0"/>
        </w:rPr>
        <w:t>1</w:t>
      </w:r>
      <w:r w:rsidRPr="00045FB3">
        <w:rPr>
          <w:b/>
          <w:bCs/>
          <w:noProof w:val="0"/>
        </w:rPr>
        <w:t>7</w:t>
      </w:r>
      <w:r w:rsidRPr="00045FB3">
        <w:rPr>
          <w:b/>
          <w:bCs/>
          <w:noProof w:val="0"/>
        </w:rPr>
        <w:t>000 EUR</w:t>
      </w:r>
      <w:r>
        <w:rPr>
          <w:b/>
          <w:bCs/>
          <w:noProof w:val="0"/>
        </w:rPr>
        <w:t xml:space="preserve"> + VAT</w:t>
      </w:r>
    </w:p>
    <w:p w14:paraId="1998BEDB" w14:textId="77777777" w:rsidR="00DA2EAE" w:rsidRDefault="00045FB3" w:rsidP="00DA2EAE">
      <w:pPr>
        <w:spacing w:before="240"/>
        <w:ind w:left="720"/>
        <w:rPr>
          <w:noProof w:val="0"/>
        </w:rPr>
      </w:pPr>
      <w:r>
        <w:rPr>
          <w:noProof w:val="0"/>
        </w:rPr>
        <w:t>2</w:t>
      </w:r>
      <w:r>
        <w:rPr>
          <w:noProof w:val="0"/>
        </w:rPr>
        <w:t>.b. Study design, sampling, report writing performed by ARC *&amp; partners</w:t>
      </w:r>
      <w:r w:rsidR="00DA2EAE">
        <w:rPr>
          <w:noProof w:val="0"/>
        </w:rPr>
        <w:t>. D</w:t>
      </w:r>
      <w:r>
        <w:rPr>
          <w:noProof w:val="0"/>
        </w:rPr>
        <w:t xml:space="preserve">ata collection </w:t>
      </w:r>
      <w:r>
        <w:rPr>
          <w:noProof w:val="0"/>
        </w:rPr>
        <w:t xml:space="preserve">&amp; interviews/focus groups </w:t>
      </w:r>
      <w:r>
        <w:rPr>
          <w:noProof w:val="0"/>
        </w:rPr>
        <w:t xml:space="preserve">performed </w:t>
      </w:r>
      <w:r w:rsidRPr="002C52E3">
        <w:rPr>
          <w:i/>
          <w:iCs/>
          <w:noProof w:val="0"/>
        </w:rPr>
        <w:t>by RUF</w:t>
      </w:r>
      <w:r>
        <w:rPr>
          <w:noProof w:val="0"/>
        </w:rPr>
        <w:t xml:space="preserve"> with instrument</w:t>
      </w:r>
      <w:r>
        <w:rPr>
          <w:noProof w:val="0"/>
        </w:rPr>
        <w:t>s</w:t>
      </w:r>
      <w:r>
        <w:rPr>
          <w:noProof w:val="0"/>
        </w:rPr>
        <w:t xml:space="preserve"> provided by ARC</w:t>
      </w:r>
      <w:r w:rsidR="00DA2EAE">
        <w:rPr>
          <w:noProof w:val="0"/>
        </w:rPr>
        <w:t>.</w:t>
      </w:r>
      <w:r>
        <w:rPr>
          <w:noProof w:val="0"/>
        </w:rPr>
        <w:t xml:space="preserve"> </w:t>
      </w:r>
      <w:r w:rsidR="00DA2EAE">
        <w:rPr>
          <w:noProof w:val="0"/>
        </w:rPr>
        <w:t>D</w:t>
      </w:r>
      <w:r>
        <w:rPr>
          <w:noProof w:val="0"/>
        </w:rPr>
        <w:t>ata cleaning / management &amp; analysis by ARC *&amp; partners</w:t>
      </w:r>
      <w:r w:rsidR="00DA2EAE">
        <w:rPr>
          <w:noProof w:val="0"/>
        </w:rPr>
        <w:t xml:space="preserve">. </w:t>
      </w:r>
    </w:p>
    <w:p w14:paraId="55F05C1A" w14:textId="268D6642" w:rsidR="00045FB3" w:rsidRDefault="00045FB3" w:rsidP="00DA2EAE">
      <w:pPr>
        <w:spacing w:before="240"/>
        <w:ind w:left="720"/>
        <w:rPr>
          <w:noProof w:val="0"/>
        </w:rPr>
      </w:pPr>
      <w:r w:rsidRPr="00045FB3">
        <w:rPr>
          <w:b/>
          <w:bCs/>
          <w:noProof w:val="0"/>
        </w:rPr>
        <w:t>1</w:t>
      </w:r>
      <w:r w:rsidRPr="00045FB3">
        <w:rPr>
          <w:b/>
          <w:bCs/>
          <w:noProof w:val="0"/>
        </w:rPr>
        <w:t>3</w:t>
      </w:r>
      <w:r w:rsidRPr="00045FB3">
        <w:rPr>
          <w:b/>
          <w:bCs/>
          <w:noProof w:val="0"/>
        </w:rPr>
        <w:t>000 EUR</w:t>
      </w:r>
      <w:r>
        <w:rPr>
          <w:b/>
          <w:bCs/>
          <w:noProof w:val="0"/>
        </w:rPr>
        <w:t xml:space="preserve"> + VAT</w:t>
      </w:r>
    </w:p>
    <w:p w14:paraId="0E3B0400" w14:textId="44F464DC" w:rsidR="00045FB3" w:rsidRPr="00DA2EAE" w:rsidRDefault="00045FB3" w:rsidP="00045FB3">
      <w:pPr>
        <w:spacing w:before="240"/>
        <w:rPr>
          <w:noProof w:val="0"/>
          <w:u w:val="single"/>
        </w:rPr>
      </w:pPr>
      <w:r w:rsidRPr="00DA2EAE">
        <w:rPr>
          <w:noProof w:val="0"/>
          <w:u w:val="single"/>
        </w:rPr>
        <w:t>Option 3: Qualitative study (good option with insights highly dependent on the quality of the focus groups and interviewees)</w:t>
      </w:r>
    </w:p>
    <w:p w14:paraId="40A12B55" w14:textId="249D959E" w:rsidR="00DA2EAE" w:rsidRDefault="00045FB3" w:rsidP="00DA2EAE">
      <w:pPr>
        <w:spacing w:before="240"/>
        <w:ind w:left="720"/>
        <w:rPr>
          <w:noProof w:val="0"/>
        </w:rPr>
      </w:pPr>
      <w:r>
        <w:rPr>
          <w:noProof w:val="0"/>
        </w:rPr>
        <w:t xml:space="preserve">3.a. </w:t>
      </w:r>
      <w:r w:rsidR="00DA2EAE">
        <w:rPr>
          <w:noProof w:val="0"/>
        </w:rPr>
        <w:t>Study design</w:t>
      </w:r>
      <w:r w:rsidR="00DA2EAE">
        <w:rPr>
          <w:noProof w:val="0"/>
        </w:rPr>
        <w:t xml:space="preserve"> developed by ARC. I</w:t>
      </w:r>
      <w:r w:rsidR="00DA2EAE">
        <w:rPr>
          <w:noProof w:val="0"/>
        </w:rPr>
        <w:t xml:space="preserve">nterviews and focus groups conducted by ARC &amp; Partners with the </w:t>
      </w:r>
      <w:r w:rsidR="00DA2EAE" w:rsidRPr="00DA2EAE">
        <w:rPr>
          <w:i/>
          <w:iCs/>
          <w:noProof w:val="0"/>
        </w:rPr>
        <w:t>aid of RUF</w:t>
      </w:r>
      <w:r w:rsidR="00DA2EAE">
        <w:rPr>
          <w:noProof w:val="0"/>
        </w:rPr>
        <w:t>. D</w:t>
      </w:r>
      <w:r w:rsidR="00DA2EAE">
        <w:rPr>
          <w:noProof w:val="0"/>
        </w:rPr>
        <w:t>ata cleaning / management &amp; analysis</w:t>
      </w:r>
      <w:r w:rsidR="00DA2EAE">
        <w:rPr>
          <w:noProof w:val="0"/>
        </w:rPr>
        <w:t xml:space="preserve"> as well as </w:t>
      </w:r>
      <w:r w:rsidR="00DA2EAE">
        <w:rPr>
          <w:noProof w:val="0"/>
        </w:rPr>
        <w:t>report writing performed by ARC &amp; partners</w:t>
      </w:r>
      <w:r w:rsidR="002C52E3">
        <w:rPr>
          <w:noProof w:val="0"/>
        </w:rPr>
        <w:t>.</w:t>
      </w:r>
    </w:p>
    <w:p w14:paraId="52665A32" w14:textId="23E7549F" w:rsidR="00DA2EAE" w:rsidRDefault="00DA2EAE" w:rsidP="00DA2EAE">
      <w:pPr>
        <w:spacing w:before="240"/>
        <w:ind w:left="720"/>
        <w:rPr>
          <w:noProof w:val="0"/>
        </w:rPr>
      </w:pPr>
      <w:r w:rsidRPr="00045FB3">
        <w:rPr>
          <w:b/>
          <w:bCs/>
          <w:noProof w:val="0"/>
        </w:rPr>
        <w:t>1</w:t>
      </w:r>
      <w:r>
        <w:rPr>
          <w:b/>
          <w:bCs/>
          <w:noProof w:val="0"/>
        </w:rPr>
        <w:t>1</w:t>
      </w:r>
      <w:r w:rsidRPr="00045FB3">
        <w:rPr>
          <w:b/>
          <w:bCs/>
          <w:noProof w:val="0"/>
        </w:rPr>
        <w:t>000 EUR</w:t>
      </w:r>
      <w:r>
        <w:rPr>
          <w:b/>
          <w:bCs/>
          <w:noProof w:val="0"/>
        </w:rPr>
        <w:t xml:space="preserve"> + VAT</w:t>
      </w:r>
    </w:p>
    <w:p w14:paraId="6ECE242F" w14:textId="3B9F1AF0" w:rsidR="00045FB3" w:rsidRDefault="00045FB3" w:rsidP="00045FB3">
      <w:pPr>
        <w:spacing w:before="240"/>
        <w:rPr>
          <w:noProof w:val="0"/>
        </w:rPr>
      </w:pPr>
    </w:p>
    <w:p w14:paraId="78C66238" w14:textId="010A455D" w:rsidR="00045FB3" w:rsidRPr="00F8586C" w:rsidRDefault="00045FB3" w:rsidP="00045FB3">
      <w:pPr>
        <w:spacing w:before="240"/>
        <w:rPr>
          <w:noProof w:val="0"/>
        </w:rPr>
      </w:pPr>
    </w:p>
    <w:sectPr w:rsidR="00045FB3" w:rsidRPr="00F8586C" w:rsidSect="00045FB3">
      <w:headerReference w:type="default" r:id="rId8"/>
      <w:footerReference w:type="default" r:id="rId9"/>
      <w:pgSz w:w="11900" w:h="16840"/>
      <w:pgMar w:top="216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877B82" w14:textId="77777777" w:rsidR="0012710C" w:rsidRDefault="0012710C" w:rsidP="006C5742">
      <w:r>
        <w:separator/>
      </w:r>
    </w:p>
  </w:endnote>
  <w:endnote w:type="continuationSeparator" w:id="0">
    <w:p w14:paraId="02F0B6F4" w14:textId="77777777" w:rsidR="0012710C" w:rsidRDefault="0012710C" w:rsidP="006C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S Gothic">
    <w:altName w:val="ＭＳ ゴシック"/>
    <w:panose1 w:val="020B0609070205080204"/>
    <w:charset w:val="80"/>
    <w:family w:val="modern"/>
    <w:pitch w:val="fixed"/>
    <w:sig w:usb0="E00002FF" w:usb1="6AC7FDFB" w:usb2="00000012" w:usb3="00000000" w:csb0="0002009F" w:csb1="00000000"/>
  </w:font>
  <w:font w:name="Gill Sans MT">
    <w:panose1 w:val="020B0502020104020203"/>
    <w:charset w:val="4D"/>
    <w:family w:val="swiss"/>
    <w:pitch w:val="variable"/>
    <w:sig w:usb0="00000003" w:usb1="00000000" w:usb2="00000000" w:usb3="00000000" w:csb0="00000003"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2424E" w14:textId="77777777" w:rsidR="006C5742" w:rsidRDefault="006C5742" w:rsidP="006C5742">
    <w:pPr>
      <w:spacing w:before="184"/>
      <w:ind w:right="-347"/>
      <w:jc w:val="right"/>
      <w:rPr>
        <w:rFonts w:ascii="Calibri"/>
        <w:b/>
      </w:rPr>
    </w:pPr>
    <w:r>
      <w:rPr>
        <w:rFonts w:ascii="Calibri"/>
        <w:b/>
        <w:color w:val="F0533F"/>
        <w:spacing w:val="-1"/>
      </w:rPr>
      <w:t xml:space="preserve"> arcromania.ro</w:t>
    </w:r>
  </w:p>
  <w:p w14:paraId="665677CF" w14:textId="77777777" w:rsidR="006C5742" w:rsidRDefault="006C5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AC1B20" w14:textId="77777777" w:rsidR="0012710C" w:rsidRDefault="0012710C" w:rsidP="006C5742">
      <w:r>
        <w:separator/>
      </w:r>
    </w:p>
  </w:footnote>
  <w:footnote w:type="continuationSeparator" w:id="0">
    <w:p w14:paraId="6A669E4D" w14:textId="77777777" w:rsidR="0012710C" w:rsidRDefault="0012710C" w:rsidP="006C5742">
      <w:r>
        <w:continuationSeparator/>
      </w:r>
    </w:p>
  </w:footnote>
  <w:footnote w:id="1">
    <w:p w14:paraId="7968568B" w14:textId="7547E860" w:rsidR="00CB4AA7" w:rsidRPr="00A745A2" w:rsidRDefault="00CB4AA7">
      <w:pPr>
        <w:pStyle w:val="FootnoteText"/>
        <w:rPr>
          <w:lang w:val="ro-RO"/>
        </w:rPr>
      </w:pPr>
      <w:r>
        <w:rPr>
          <w:rStyle w:val="FootnoteReference"/>
        </w:rPr>
        <w:footnoteRef/>
      </w:r>
      <w:r>
        <w:t xml:space="preserve"> </w:t>
      </w:r>
      <w:r w:rsidR="00A745A2">
        <w:t xml:space="preserve">Compared to </w:t>
      </w:r>
      <w:r w:rsidR="00A745A2" w:rsidRPr="00CB4AA7">
        <w:t>$292.09 billion</w:t>
      </w:r>
      <w:r w:rsidR="00A745A2">
        <w:rPr>
          <w:lang w:val="ro-RO"/>
        </w:rPr>
        <w:t xml:space="preserve"> in 2018 - </w:t>
      </w:r>
      <w:r w:rsidRPr="00CB4AA7">
        <w:rPr>
          <w:i/>
          <w:iCs/>
        </w:rPr>
        <w:t xml:space="preserve">Giving USA </w:t>
      </w:r>
      <w:r w:rsidRPr="00CB4AA7">
        <w:t xml:space="preserve">is </w:t>
      </w:r>
      <w:r w:rsidRPr="00CB4AA7">
        <w:rPr>
          <w:i/>
          <w:iCs/>
        </w:rPr>
        <w:t xml:space="preserve">Giving USA 2019: The Annual Report on Philanthropy for the Year 2018, </w:t>
      </w:r>
      <w:r w:rsidRPr="00CB4AA7">
        <w:t>a publication of Giving USA Foundation, 2019, researched and written by the Indiana University Lilly Family School of Philanthropy.</w:t>
      </w:r>
    </w:p>
  </w:footnote>
  <w:footnote w:id="2">
    <w:p w14:paraId="7DC26BD7" w14:textId="6272695B" w:rsidR="00A745A2" w:rsidRPr="00A745A2" w:rsidRDefault="00A745A2">
      <w:pPr>
        <w:pStyle w:val="FootnoteText"/>
      </w:pPr>
      <w:r w:rsidRPr="00A745A2">
        <w:rPr>
          <w:rStyle w:val="FootnoteReference"/>
        </w:rPr>
        <w:footnoteRef/>
      </w:r>
      <w:r w:rsidRPr="00A745A2">
        <w:t xml:space="preserve"> Takeaways from Giving USA 2020 – The Annual Report on Philanthropy</w:t>
      </w:r>
      <w:r w:rsidRPr="00A745A2">
        <w:rPr>
          <w:lang w:val="ro-RO"/>
        </w:rPr>
        <w:t xml:space="preserve">- </w:t>
      </w:r>
      <w:hyperlink r:id="rId1" w:history="1">
        <w:r w:rsidRPr="009E1F7A">
          <w:rPr>
            <w:rStyle w:val="Hyperlink"/>
          </w:rPr>
          <w:t>https://www.bkd.com/article/2020/07/takeaways-giving-usa-2020-annual-report-philanthropy</w:t>
        </w:r>
      </w:hyperlink>
      <w:r>
        <w:t>.</w:t>
      </w:r>
    </w:p>
  </w:footnote>
  <w:footnote w:id="3">
    <w:p w14:paraId="6B61B32A" w14:textId="00331C54" w:rsidR="00CB4AA7" w:rsidRPr="00CB4AA7" w:rsidRDefault="00CB4AA7" w:rsidP="00CB4AA7">
      <w:pPr>
        <w:pStyle w:val="FootnoteText"/>
        <w:rPr>
          <w:lang w:val="ro-RO"/>
        </w:rPr>
      </w:pPr>
      <w:r>
        <w:rPr>
          <w:rStyle w:val="FootnoteReference"/>
        </w:rPr>
        <w:footnoteRef/>
      </w:r>
      <w:r>
        <w:t xml:space="preserve"> </w:t>
      </w:r>
      <w:hyperlink r:id="rId2" w:history="1">
        <w:r w:rsidRPr="009E1F7A">
          <w:rPr>
            <w:rStyle w:val="Hyperlink"/>
          </w:rPr>
          <w:t>https://data.census.gov/cedsci/table?q=ancestry&amp;d=ACS%201-Year%20Estimates%20Detailed%20Tables&amp;tid=ACSDT1Y2019.B04004&amp;hidePreview=false</w:t>
        </w:r>
      </w:hyperlink>
      <w:r w:rsidR="00A745A2">
        <w:t>.</w:t>
      </w:r>
    </w:p>
  </w:footnote>
  <w:footnote w:id="4">
    <w:p w14:paraId="37ABB434" w14:textId="648DBFF5" w:rsidR="00902366" w:rsidRPr="00902366" w:rsidRDefault="00902366">
      <w:pPr>
        <w:pStyle w:val="FootnoteText"/>
      </w:pPr>
      <w:r>
        <w:rPr>
          <w:rStyle w:val="FootnoteReference"/>
        </w:rPr>
        <w:footnoteRef/>
      </w:r>
      <w:r>
        <w:t xml:space="preserve"> </w:t>
      </w:r>
      <w:hyperlink r:id="rId3" w:history="1">
        <w:r w:rsidRPr="00902366">
          <w:rPr>
            <w:rStyle w:val="Hyperlink"/>
            <w:lang w:val="en-RO"/>
          </w:rPr>
          <w:t>Raport privind potențialul de implicare al diasporei în comunitățile din Țara Făgărașului</w:t>
        </w:r>
        <w:r w:rsidRPr="00902366">
          <w:rPr>
            <w:rStyle w:val="Hyperlink"/>
          </w:rPr>
          <w:t>.</w:t>
        </w:r>
      </w:hyperlink>
    </w:p>
  </w:footnote>
  <w:footnote w:id="5">
    <w:p w14:paraId="017E3E27" w14:textId="7345E526" w:rsidR="00A644C1" w:rsidRDefault="00A644C1">
      <w:pPr>
        <w:pStyle w:val="FootnoteText"/>
      </w:pPr>
      <w:r>
        <w:rPr>
          <w:rStyle w:val="FootnoteReference"/>
        </w:rPr>
        <w:footnoteRef/>
      </w:r>
      <w:r>
        <w:t xml:space="preserve"> Another, more expensive and more laborious, option is generating a representative sample and contacting respondents using CATI, but the lack of a readily available sampling frame (list of individuals that can be contacted) makes this option impractical.</w:t>
      </w:r>
    </w:p>
  </w:footnote>
  <w:footnote w:id="6">
    <w:p w14:paraId="722EFDE1" w14:textId="77777777" w:rsidR="00A644C1" w:rsidRPr="00A644C1" w:rsidRDefault="00A644C1" w:rsidP="00A644C1">
      <w:pPr>
        <w:pStyle w:val="FootnoteText"/>
      </w:pPr>
      <w:r>
        <w:rPr>
          <w:rStyle w:val="FootnoteReference"/>
        </w:rPr>
        <w:footnoteRef/>
      </w:r>
      <w:r>
        <w:t xml:space="preserve"> Calculated using </w:t>
      </w:r>
      <w:r w:rsidRPr="00A644C1">
        <w:t>n</w:t>
      </w:r>
      <w:r w:rsidRPr="00A644C1">
        <w:rPr>
          <w:vertAlign w:val="subscript"/>
        </w:rPr>
        <w:t>1</w:t>
      </w:r>
      <w:r w:rsidRPr="00A644C1">
        <w:t xml:space="preserve"> = n</w:t>
      </w:r>
      <w:r w:rsidRPr="00A644C1">
        <w:rPr>
          <w:vertAlign w:val="subscript"/>
        </w:rPr>
        <w:t>0</w:t>
      </w:r>
      <w:r w:rsidRPr="00A644C1">
        <w:t>/{1+[(n0 – 1)/N]}</w:t>
      </w:r>
      <w:r>
        <w:t xml:space="preserve">, </w:t>
      </w:r>
      <w:r w:rsidRPr="00A644C1">
        <w:t xml:space="preserve">Where </w:t>
      </w:r>
      <w:r>
        <w:t>n</w:t>
      </w:r>
      <w:r w:rsidRPr="00A644C1">
        <w:rPr>
          <w:vertAlign w:val="subscript"/>
        </w:rPr>
        <w:t>0</w:t>
      </w:r>
      <w:r>
        <w:t xml:space="preserve"> is the size of the sample required for </w:t>
      </w:r>
      <w:r w:rsidRPr="00A644C1">
        <w:t>an unknown population</w:t>
      </w:r>
      <w:r>
        <w:t xml:space="preserve">, </w:t>
      </w:r>
      <w:r w:rsidRPr="00A644C1">
        <w:t>n</w:t>
      </w:r>
      <w:r w:rsidRPr="00A644C1">
        <w:rPr>
          <w:vertAlign w:val="subscript"/>
        </w:rPr>
        <w:t>1</w:t>
      </w:r>
      <w:r w:rsidRPr="00A644C1">
        <w:t xml:space="preserve"> is the size of the necessary sample size in the case of a finite population, while N is the size of the population</w:t>
      </w:r>
      <w:r>
        <w:t xml:space="preserve"> (Fejes, 2016, based on </w:t>
      </w:r>
      <w:r w:rsidRPr="00A644C1">
        <w:t>Israel, 1992)</w:t>
      </w:r>
      <w:r>
        <w:t>.</w:t>
      </w:r>
    </w:p>
  </w:footnote>
  <w:footnote w:id="7">
    <w:p w14:paraId="0DDB0B14" w14:textId="44C4F7EF" w:rsidR="00A644C1" w:rsidRDefault="00A644C1">
      <w:pPr>
        <w:pStyle w:val="FootnoteText"/>
      </w:pPr>
      <w:r>
        <w:rPr>
          <w:rStyle w:val="FootnoteReference"/>
        </w:rPr>
        <w:footnoteRef/>
      </w:r>
      <w:r>
        <w:t xml:space="preserve"> Computer assited telephone interviewing.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5ACCD7" w14:textId="77777777" w:rsidR="006C5742" w:rsidRDefault="006C5742" w:rsidP="006C5742">
    <w:pPr>
      <w:pStyle w:val="BodyText"/>
      <w:spacing w:before="77"/>
      <w:ind w:right="-914"/>
      <w:jc w:val="right"/>
    </w:pPr>
    <w:r>
      <w:rPr>
        <w:noProof/>
        <w:lang w:val="en-US" w:eastAsia="en-US" w:bidi="ar-SA"/>
      </w:rPr>
      <mc:AlternateContent>
        <mc:Choice Requires="wps">
          <w:drawing>
            <wp:anchor distT="0" distB="0" distL="114300" distR="114300" simplePos="0" relativeHeight="251659264" behindDoc="1" locked="0" layoutInCell="1" allowOverlap="1" wp14:anchorId="5A084705" wp14:editId="0A9982A1">
              <wp:simplePos x="0" y="0"/>
              <wp:positionH relativeFrom="page">
                <wp:posOffset>539750</wp:posOffset>
              </wp:positionH>
              <wp:positionV relativeFrom="page">
                <wp:posOffset>539750</wp:posOffset>
              </wp:positionV>
              <wp:extent cx="1440180" cy="549910"/>
              <wp:effectExtent l="6350" t="6350" r="13970" b="1524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0180" cy="549910"/>
                      </a:xfrm>
                      <a:custGeom>
                        <a:avLst/>
                        <a:gdLst>
                          <a:gd name="T0" fmla="+- 0 2589 850"/>
                          <a:gd name="T1" fmla="*/ T0 w 2268"/>
                          <a:gd name="T2" fmla="+- 0 875 850"/>
                          <a:gd name="T3" fmla="*/ 875 h 866"/>
                          <a:gd name="T4" fmla="+- 0 2425 850"/>
                          <a:gd name="T5" fmla="*/ T4 w 2268"/>
                          <a:gd name="T6" fmla="+- 0 991 850"/>
                          <a:gd name="T7" fmla="*/ 991 h 866"/>
                          <a:gd name="T8" fmla="+- 0 2339 850"/>
                          <a:gd name="T9" fmla="*/ T8 w 2268"/>
                          <a:gd name="T10" fmla="+- 0 1173 850"/>
                          <a:gd name="T11" fmla="*/ 1173 h 866"/>
                          <a:gd name="T12" fmla="+- 0 2339 850"/>
                          <a:gd name="T13" fmla="*/ T12 w 2268"/>
                          <a:gd name="T14" fmla="+- 0 1393 850"/>
                          <a:gd name="T15" fmla="*/ 1393 h 866"/>
                          <a:gd name="T16" fmla="+- 0 2425 850"/>
                          <a:gd name="T17" fmla="*/ T16 w 2268"/>
                          <a:gd name="T18" fmla="+- 0 1575 850"/>
                          <a:gd name="T19" fmla="*/ 1575 h 866"/>
                          <a:gd name="T20" fmla="+- 0 2589 850"/>
                          <a:gd name="T21" fmla="*/ T20 w 2268"/>
                          <a:gd name="T22" fmla="+- 0 1691 850"/>
                          <a:gd name="T23" fmla="*/ 1691 h 866"/>
                          <a:gd name="T24" fmla="+- 0 2801 850"/>
                          <a:gd name="T25" fmla="*/ T24 w 2268"/>
                          <a:gd name="T26" fmla="+- 0 1708 850"/>
                          <a:gd name="T27" fmla="*/ 1708 h 866"/>
                          <a:gd name="T28" fmla="+- 0 2993 850"/>
                          <a:gd name="T29" fmla="*/ T28 w 2268"/>
                          <a:gd name="T30" fmla="+- 0 1611 850"/>
                          <a:gd name="T31" fmla="*/ 1611 h 866"/>
                          <a:gd name="T32" fmla="+- 0 2726 850"/>
                          <a:gd name="T33" fmla="*/ T32 w 2268"/>
                          <a:gd name="T34" fmla="+- 0 1523 850"/>
                          <a:gd name="T35" fmla="*/ 1523 h 866"/>
                          <a:gd name="T36" fmla="+- 0 2540 850"/>
                          <a:gd name="T37" fmla="*/ T36 w 2268"/>
                          <a:gd name="T38" fmla="+- 0 1400 850"/>
                          <a:gd name="T39" fmla="*/ 1400 h 866"/>
                          <a:gd name="T40" fmla="+- 0 2540 850"/>
                          <a:gd name="T41" fmla="*/ T40 w 2268"/>
                          <a:gd name="T42" fmla="+- 0 1166 850"/>
                          <a:gd name="T43" fmla="*/ 1166 h 866"/>
                          <a:gd name="T44" fmla="+- 0 2726 850"/>
                          <a:gd name="T45" fmla="*/ T44 w 2268"/>
                          <a:gd name="T46" fmla="+- 0 1043 850"/>
                          <a:gd name="T47" fmla="*/ 1043 h 866"/>
                          <a:gd name="T48" fmla="+- 0 2993 850"/>
                          <a:gd name="T49" fmla="*/ T48 w 2268"/>
                          <a:gd name="T50" fmla="+- 0 955 850"/>
                          <a:gd name="T51" fmla="*/ 955 h 866"/>
                          <a:gd name="T52" fmla="+- 0 2801 850"/>
                          <a:gd name="T53" fmla="*/ T52 w 2268"/>
                          <a:gd name="T54" fmla="+- 0 858 850"/>
                          <a:gd name="T55" fmla="*/ 858 h 866"/>
                          <a:gd name="T56" fmla="+- 0 2061 850"/>
                          <a:gd name="T57" fmla="*/ T56 w 2268"/>
                          <a:gd name="T58" fmla="+- 0 885 850"/>
                          <a:gd name="T59" fmla="*/ 885 h 866"/>
                          <a:gd name="T60" fmla="+- 0 1874 850"/>
                          <a:gd name="T61" fmla="*/ T60 w 2268"/>
                          <a:gd name="T62" fmla="+- 0 976 850"/>
                          <a:gd name="T63" fmla="*/ 976 h 866"/>
                          <a:gd name="T64" fmla="+- 0 1760 850"/>
                          <a:gd name="T65" fmla="*/ T64 w 2268"/>
                          <a:gd name="T66" fmla="+- 0 1147 850"/>
                          <a:gd name="T67" fmla="*/ 1147 h 866"/>
                          <a:gd name="T68" fmla="+- 0 1740 850"/>
                          <a:gd name="T69" fmla="*/ T68 w 2268"/>
                          <a:gd name="T70" fmla="+- 0 1687 850"/>
                          <a:gd name="T71" fmla="*/ 1687 h 866"/>
                          <a:gd name="T72" fmla="+- 0 1948 850"/>
                          <a:gd name="T73" fmla="*/ T72 w 2268"/>
                          <a:gd name="T74" fmla="+- 0 1193 850"/>
                          <a:gd name="T75" fmla="*/ 1193 h 866"/>
                          <a:gd name="T76" fmla="+- 0 2133 850"/>
                          <a:gd name="T77" fmla="*/ T76 w 2268"/>
                          <a:gd name="T78" fmla="+- 0 1070 850"/>
                          <a:gd name="T79" fmla="*/ 1070 h 866"/>
                          <a:gd name="T80" fmla="+- 0 2321 850"/>
                          <a:gd name="T81" fmla="*/ T80 w 2268"/>
                          <a:gd name="T82" fmla="+- 0 993 850"/>
                          <a:gd name="T83" fmla="*/ 993 h 866"/>
                          <a:gd name="T84" fmla="+- 0 2250 850"/>
                          <a:gd name="T85" fmla="*/ T84 w 2268"/>
                          <a:gd name="T86" fmla="+- 0 895 850"/>
                          <a:gd name="T87" fmla="*/ 895 h 866"/>
                          <a:gd name="T88" fmla="+- 0 3118 850"/>
                          <a:gd name="T89" fmla="*/ T88 w 2268"/>
                          <a:gd name="T90" fmla="+- 0 1356 850"/>
                          <a:gd name="T91" fmla="*/ 1356 h 866"/>
                          <a:gd name="T92" fmla="+- 0 2856 850"/>
                          <a:gd name="T93" fmla="*/ T92 w 2268"/>
                          <a:gd name="T94" fmla="+- 0 1475 850"/>
                          <a:gd name="T95" fmla="*/ 1475 h 866"/>
                          <a:gd name="T96" fmla="+- 0 3062 850"/>
                          <a:gd name="T97" fmla="*/ T96 w 2268"/>
                          <a:gd name="T98" fmla="+- 0 1523 850"/>
                          <a:gd name="T99" fmla="*/ 1523 h 866"/>
                          <a:gd name="T100" fmla="+- 0 3118 850"/>
                          <a:gd name="T101" fmla="*/ T100 w 2268"/>
                          <a:gd name="T102" fmla="+- 0 1356 850"/>
                          <a:gd name="T103" fmla="*/ 1356 h 866"/>
                          <a:gd name="T104" fmla="+- 0 2797 850"/>
                          <a:gd name="T105" fmla="*/ T104 w 2268"/>
                          <a:gd name="T106" fmla="+- 0 1055 850"/>
                          <a:gd name="T107" fmla="*/ 1055 h 866"/>
                          <a:gd name="T108" fmla="+- 0 2925 850"/>
                          <a:gd name="T109" fmla="*/ T108 w 2268"/>
                          <a:gd name="T110" fmla="+- 0 1212 850"/>
                          <a:gd name="T111" fmla="*/ 1212 h 866"/>
                          <a:gd name="T112" fmla="+- 0 3079 850"/>
                          <a:gd name="T113" fmla="*/ T112 w 2268"/>
                          <a:gd name="T114" fmla="+- 0 1070 850"/>
                          <a:gd name="T115" fmla="*/ 1070 h 866"/>
                          <a:gd name="T116" fmla="+- 0 2133 850"/>
                          <a:gd name="T117" fmla="*/ T116 w 2268"/>
                          <a:gd name="T118" fmla="+- 0 1070 850"/>
                          <a:gd name="T119" fmla="*/ 1070 h 866"/>
                          <a:gd name="T120" fmla="+- 0 2235 850"/>
                          <a:gd name="T121" fmla="*/ T120 w 2268"/>
                          <a:gd name="T122" fmla="+- 0 1098 850"/>
                          <a:gd name="T123" fmla="*/ 1098 h 866"/>
                          <a:gd name="T124" fmla="+- 0 2284 850"/>
                          <a:gd name="T125" fmla="*/ T124 w 2268"/>
                          <a:gd name="T126" fmla="+- 0 1070 850"/>
                          <a:gd name="T127" fmla="*/ 1070 h 866"/>
                          <a:gd name="T128" fmla="+- 0 1093 850"/>
                          <a:gd name="T129" fmla="*/ T128 w 2268"/>
                          <a:gd name="T130" fmla="+- 0 1266 850"/>
                          <a:gd name="T131" fmla="*/ 1266 h 866"/>
                          <a:gd name="T132" fmla="+- 0 922 850"/>
                          <a:gd name="T133" fmla="*/ T132 w 2268"/>
                          <a:gd name="T134" fmla="+- 0 1404 850"/>
                          <a:gd name="T135" fmla="*/ 1404 h 866"/>
                          <a:gd name="T136" fmla="+- 0 851 850"/>
                          <a:gd name="T137" fmla="*/ T136 w 2268"/>
                          <a:gd name="T138" fmla="+- 0 1618 850"/>
                          <a:gd name="T139" fmla="*/ 1618 h 866"/>
                          <a:gd name="T140" fmla="+- 0 851 850"/>
                          <a:gd name="T141" fmla="*/ T140 w 2268"/>
                          <a:gd name="T142" fmla="+- 0 1630 850"/>
                          <a:gd name="T143" fmla="*/ 1630 h 866"/>
                          <a:gd name="T144" fmla="+- 0 854 850"/>
                          <a:gd name="T145" fmla="*/ T144 w 2268"/>
                          <a:gd name="T146" fmla="+- 0 1673 850"/>
                          <a:gd name="T147" fmla="*/ 1673 h 866"/>
                          <a:gd name="T148" fmla="+- 0 1050 850"/>
                          <a:gd name="T149" fmla="*/ T148 w 2268"/>
                          <a:gd name="T150" fmla="+- 0 1672 850"/>
                          <a:gd name="T151" fmla="*/ 1672 h 866"/>
                          <a:gd name="T152" fmla="+- 0 1043 850"/>
                          <a:gd name="T153" fmla="*/ T152 w 2268"/>
                          <a:gd name="T154" fmla="+- 0 1624 850"/>
                          <a:gd name="T155" fmla="*/ 1624 h 866"/>
                          <a:gd name="T156" fmla="+- 0 1167 850"/>
                          <a:gd name="T157" fmla="*/ T156 w 2268"/>
                          <a:gd name="T158" fmla="+- 0 1444 850"/>
                          <a:gd name="T159" fmla="*/ 1444 h 866"/>
                          <a:gd name="T160" fmla="+- 0 1638 850"/>
                          <a:gd name="T161" fmla="*/ T160 w 2268"/>
                          <a:gd name="T162" fmla="+- 0 1292 850"/>
                          <a:gd name="T163" fmla="*/ 1292 h 866"/>
                          <a:gd name="T164" fmla="+- 0 1350 850"/>
                          <a:gd name="T165" fmla="*/ T164 w 2268"/>
                          <a:gd name="T166" fmla="+- 0 1251 850"/>
                          <a:gd name="T167" fmla="*/ 1251 h 866"/>
                          <a:gd name="T168" fmla="+- 0 1638 850"/>
                          <a:gd name="T169" fmla="*/ T168 w 2268"/>
                          <a:gd name="T170" fmla="+- 0 1428 850"/>
                          <a:gd name="T171" fmla="*/ 1428 h 866"/>
                          <a:gd name="T172" fmla="+- 0 1382 850"/>
                          <a:gd name="T173" fmla="*/ T172 w 2268"/>
                          <a:gd name="T174" fmla="+- 0 1484 850"/>
                          <a:gd name="T175" fmla="*/ 1484 h 866"/>
                          <a:gd name="T176" fmla="+- 0 1444 850"/>
                          <a:gd name="T177" fmla="*/ T176 w 2268"/>
                          <a:gd name="T178" fmla="+- 0 1618 850"/>
                          <a:gd name="T179" fmla="*/ 1618 h 866"/>
                          <a:gd name="T180" fmla="+- 0 1437 850"/>
                          <a:gd name="T181" fmla="*/ T180 w 2268"/>
                          <a:gd name="T182" fmla="+- 0 1670 850"/>
                          <a:gd name="T183" fmla="*/ 1670 h 866"/>
                          <a:gd name="T184" fmla="+- 0 1638 850"/>
                          <a:gd name="T185" fmla="*/ T184 w 2268"/>
                          <a:gd name="T186" fmla="+- 0 1428 850"/>
                          <a:gd name="T187" fmla="*/ 1428 h 866"/>
                          <a:gd name="T188" fmla="+- 0 1322 850"/>
                          <a:gd name="T189" fmla="*/ T188 w 2268"/>
                          <a:gd name="T190" fmla="+- 0 1060 850"/>
                          <a:gd name="T191" fmla="*/ 1060 h 866"/>
                          <a:gd name="T192" fmla="+- 0 1445 850"/>
                          <a:gd name="T193" fmla="*/ T192 w 2268"/>
                          <a:gd name="T194" fmla="+- 0 1245 850"/>
                          <a:gd name="T195" fmla="*/ 1245 h 866"/>
                          <a:gd name="T196" fmla="+- 0 1637 850"/>
                          <a:gd name="T197" fmla="*/ T196 w 2268"/>
                          <a:gd name="T198" fmla="+- 0 1244 850"/>
                          <a:gd name="T199" fmla="*/ 1244 h 866"/>
                          <a:gd name="T200" fmla="+- 0 1584 850"/>
                          <a:gd name="T201" fmla="*/ T200 w 2268"/>
                          <a:gd name="T202" fmla="+- 0 1047 850"/>
                          <a:gd name="T203" fmla="*/ 1047 h 866"/>
                          <a:gd name="T204" fmla="+- 0 1163 850"/>
                          <a:gd name="T205" fmla="*/ T204 w 2268"/>
                          <a:gd name="T206" fmla="+- 0 860 850"/>
                          <a:gd name="T207" fmla="*/ 860 h 866"/>
                          <a:gd name="T208" fmla="+- 0 960 850"/>
                          <a:gd name="T209" fmla="*/ T208 w 2268"/>
                          <a:gd name="T210" fmla="+- 0 973 850"/>
                          <a:gd name="T211" fmla="*/ 973 h 866"/>
                          <a:gd name="T212" fmla="+- 0 856 850"/>
                          <a:gd name="T213" fmla="*/ T212 w 2268"/>
                          <a:gd name="T214" fmla="+- 0 1181 850"/>
                          <a:gd name="T215" fmla="*/ 1181 h 866"/>
                          <a:gd name="T216" fmla="+- 0 1126 850"/>
                          <a:gd name="T217" fmla="*/ T216 w 2268"/>
                          <a:gd name="T218" fmla="+- 0 1083 850"/>
                          <a:gd name="T219" fmla="*/ 1083 h 866"/>
                          <a:gd name="T220" fmla="+- 0 1582 850"/>
                          <a:gd name="T221" fmla="*/ T220 w 2268"/>
                          <a:gd name="T222" fmla="+- 0 1044 850"/>
                          <a:gd name="T223" fmla="*/ 1044 h 866"/>
                          <a:gd name="T224" fmla="+- 0 1442 850"/>
                          <a:gd name="T225" fmla="*/ T224 w 2268"/>
                          <a:gd name="T226" fmla="+- 0 906 850"/>
                          <a:gd name="T227" fmla="*/ 906 h 866"/>
                          <a:gd name="T228" fmla="+- 0 1244 850"/>
                          <a:gd name="T229" fmla="*/ T228 w 2268"/>
                          <a:gd name="T230" fmla="+- 0 852 850"/>
                          <a:gd name="T231" fmla="*/ 852 h 8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268" h="866">
                            <a:moveTo>
                              <a:pt x="1876" y="0"/>
                            </a:moveTo>
                            <a:lnTo>
                              <a:pt x="1805" y="7"/>
                            </a:lnTo>
                            <a:lnTo>
                              <a:pt x="1739" y="25"/>
                            </a:lnTo>
                            <a:lnTo>
                              <a:pt x="1678" y="54"/>
                            </a:lnTo>
                            <a:lnTo>
                              <a:pt x="1623" y="93"/>
                            </a:lnTo>
                            <a:lnTo>
                              <a:pt x="1575" y="141"/>
                            </a:lnTo>
                            <a:lnTo>
                              <a:pt x="1536" y="195"/>
                            </a:lnTo>
                            <a:lnTo>
                              <a:pt x="1507" y="257"/>
                            </a:lnTo>
                            <a:lnTo>
                              <a:pt x="1489" y="323"/>
                            </a:lnTo>
                            <a:lnTo>
                              <a:pt x="1482" y="394"/>
                            </a:lnTo>
                            <a:lnTo>
                              <a:pt x="1482" y="472"/>
                            </a:lnTo>
                            <a:lnTo>
                              <a:pt x="1489" y="543"/>
                            </a:lnTo>
                            <a:lnTo>
                              <a:pt x="1507" y="609"/>
                            </a:lnTo>
                            <a:lnTo>
                              <a:pt x="1536" y="670"/>
                            </a:lnTo>
                            <a:lnTo>
                              <a:pt x="1575" y="725"/>
                            </a:lnTo>
                            <a:lnTo>
                              <a:pt x="1623" y="773"/>
                            </a:lnTo>
                            <a:lnTo>
                              <a:pt x="1678" y="812"/>
                            </a:lnTo>
                            <a:lnTo>
                              <a:pt x="1739" y="841"/>
                            </a:lnTo>
                            <a:lnTo>
                              <a:pt x="1805" y="859"/>
                            </a:lnTo>
                            <a:lnTo>
                              <a:pt x="1876" y="866"/>
                            </a:lnTo>
                            <a:lnTo>
                              <a:pt x="1951" y="858"/>
                            </a:lnTo>
                            <a:lnTo>
                              <a:pt x="2022" y="838"/>
                            </a:lnTo>
                            <a:lnTo>
                              <a:pt x="2086" y="805"/>
                            </a:lnTo>
                            <a:lnTo>
                              <a:pt x="2143" y="761"/>
                            </a:lnTo>
                            <a:lnTo>
                              <a:pt x="2191" y="708"/>
                            </a:lnTo>
                            <a:lnTo>
                              <a:pt x="2212" y="673"/>
                            </a:lnTo>
                            <a:lnTo>
                              <a:pt x="1876" y="673"/>
                            </a:lnTo>
                            <a:lnTo>
                              <a:pt x="1798" y="658"/>
                            </a:lnTo>
                            <a:lnTo>
                              <a:pt x="1734" y="614"/>
                            </a:lnTo>
                            <a:lnTo>
                              <a:pt x="1690" y="550"/>
                            </a:lnTo>
                            <a:lnTo>
                              <a:pt x="1675" y="472"/>
                            </a:lnTo>
                            <a:lnTo>
                              <a:pt x="1675" y="394"/>
                            </a:lnTo>
                            <a:lnTo>
                              <a:pt x="1690" y="316"/>
                            </a:lnTo>
                            <a:lnTo>
                              <a:pt x="1734" y="252"/>
                            </a:lnTo>
                            <a:lnTo>
                              <a:pt x="1798" y="208"/>
                            </a:lnTo>
                            <a:lnTo>
                              <a:pt x="1876" y="193"/>
                            </a:lnTo>
                            <a:lnTo>
                              <a:pt x="2212" y="193"/>
                            </a:lnTo>
                            <a:lnTo>
                              <a:pt x="2191" y="159"/>
                            </a:lnTo>
                            <a:lnTo>
                              <a:pt x="2143" y="105"/>
                            </a:lnTo>
                            <a:lnTo>
                              <a:pt x="2086" y="61"/>
                            </a:lnTo>
                            <a:lnTo>
                              <a:pt x="2022" y="28"/>
                            </a:lnTo>
                            <a:lnTo>
                              <a:pt x="1951" y="8"/>
                            </a:lnTo>
                            <a:lnTo>
                              <a:pt x="1876" y="0"/>
                            </a:lnTo>
                            <a:close/>
                            <a:moveTo>
                              <a:pt x="1283" y="28"/>
                            </a:moveTo>
                            <a:lnTo>
                              <a:pt x="1211" y="35"/>
                            </a:lnTo>
                            <a:lnTo>
                              <a:pt x="1142" y="54"/>
                            </a:lnTo>
                            <a:lnTo>
                              <a:pt x="1080" y="85"/>
                            </a:lnTo>
                            <a:lnTo>
                              <a:pt x="1024" y="126"/>
                            </a:lnTo>
                            <a:lnTo>
                              <a:pt x="976" y="176"/>
                            </a:lnTo>
                            <a:lnTo>
                              <a:pt x="938" y="233"/>
                            </a:lnTo>
                            <a:lnTo>
                              <a:pt x="910" y="297"/>
                            </a:lnTo>
                            <a:lnTo>
                              <a:pt x="894" y="367"/>
                            </a:lnTo>
                            <a:lnTo>
                              <a:pt x="890" y="421"/>
                            </a:lnTo>
                            <a:lnTo>
                              <a:pt x="890" y="837"/>
                            </a:lnTo>
                            <a:lnTo>
                              <a:pt x="1082" y="837"/>
                            </a:lnTo>
                            <a:lnTo>
                              <a:pt x="1082" y="421"/>
                            </a:lnTo>
                            <a:lnTo>
                              <a:pt x="1098" y="343"/>
                            </a:lnTo>
                            <a:lnTo>
                              <a:pt x="1141" y="279"/>
                            </a:lnTo>
                            <a:lnTo>
                              <a:pt x="1205" y="236"/>
                            </a:lnTo>
                            <a:lnTo>
                              <a:pt x="1283" y="220"/>
                            </a:lnTo>
                            <a:lnTo>
                              <a:pt x="1434" y="220"/>
                            </a:lnTo>
                            <a:lnTo>
                              <a:pt x="1443" y="200"/>
                            </a:lnTo>
                            <a:lnTo>
                              <a:pt x="1471" y="143"/>
                            </a:lnTo>
                            <a:lnTo>
                              <a:pt x="1502" y="95"/>
                            </a:lnTo>
                            <a:lnTo>
                              <a:pt x="1453" y="66"/>
                            </a:lnTo>
                            <a:lnTo>
                              <a:pt x="1400" y="45"/>
                            </a:lnTo>
                            <a:lnTo>
                              <a:pt x="1343" y="32"/>
                            </a:lnTo>
                            <a:lnTo>
                              <a:pt x="1283" y="28"/>
                            </a:lnTo>
                            <a:close/>
                            <a:moveTo>
                              <a:pt x="2268" y="506"/>
                            </a:moveTo>
                            <a:lnTo>
                              <a:pt x="2074" y="506"/>
                            </a:lnTo>
                            <a:lnTo>
                              <a:pt x="2051" y="572"/>
                            </a:lnTo>
                            <a:lnTo>
                              <a:pt x="2006" y="625"/>
                            </a:lnTo>
                            <a:lnTo>
                              <a:pt x="1947" y="661"/>
                            </a:lnTo>
                            <a:lnTo>
                              <a:pt x="1876" y="673"/>
                            </a:lnTo>
                            <a:lnTo>
                              <a:pt x="2212" y="673"/>
                            </a:lnTo>
                            <a:lnTo>
                              <a:pt x="2228" y="647"/>
                            </a:lnTo>
                            <a:lnTo>
                              <a:pt x="2255" y="579"/>
                            </a:lnTo>
                            <a:lnTo>
                              <a:pt x="2268" y="506"/>
                            </a:lnTo>
                            <a:close/>
                            <a:moveTo>
                              <a:pt x="2212" y="193"/>
                            </a:moveTo>
                            <a:lnTo>
                              <a:pt x="1876" y="193"/>
                            </a:lnTo>
                            <a:lnTo>
                              <a:pt x="1947" y="205"/>
                            </a:lnTo>
                            <a:lnTo>
                              <a:pt x="2007" y="241"/>
                            </a:lnTo>
                            <a:lnTo>
                              <a:pt x="2051" y="295"/>
                            </a:lnTo>
                            <a:lnTo>
                              <a:pt x="2075" y="362"/>
                            </a:lnTo>
                            <a:lnTo>
                              <a:pt x="2268" y="362"/>
                            </a:lnTo>
                            <a:lnTo>
                              <a:pt x="2255" y="288"/>
                            </a:lnTo>
                            <a:lnTo>
                              <a:pt x="2229" y="220"/>
                            </a:lnTo>
                            <a:lnTo>
                              <a:pt x="2212" y="193"/>
                            </a:lnTo>
                            <a:close/>
                            <a:moveTo>
                              <a:pt x="1434" y="220"/>
                            </a:moveTo>
                            <a:lnTo>
                              <a:pt x="1283" y="220"/>
                            </a:lnTo>
                            <a:lnTo>
                              <a:pt x="1320" y="223"/>
                            </a:lnTo>
                            <a:lnTo>
                              <a:pt x="1354" y="233"/>
                            </a:lnTo>
                            <a:lnTo>
                              <a:pt x="1385" y="248"/>
                            </a:lnTo>
                            <a:lnTo>
                              <a:pt x="1414" y="268"/>
                            </a:lnTo>
                            <a:lnTo>
                              <a:pt x="1422" y="248"/>
                            </a:lnTo>
                            <a:lnTo>
                              <a:pt x="1434" y="220"/>
                            </a:lnTo>
                            <a:close/>
                            <a:moveTo>
                              <a:pt x="394" y="386"/>
                            </a:moveTo>
                            <a:lnTo>
                              <a:pt x="316" y="394"/>
                            </a:lnTo>
                            <a:lnTo>
                              <a:pt x="243" y="416"/>
                            </a:lnTo>
                            <a:lnTo>
                              <a:pt x="177" y="451"/>
                            </a:lnTo>
                            <a:lnTo>
                              <a:pt x="120" y="498"/>
                            </a:lnTo>
                            <a:lnTo>
                              <a:pt x="72" y="554"/>
                            </a:lnTo>
                            <a:lnTo>
                              <a:pt x="35" y="619"/>
                            </a:lnTo>
                            <a:lnTo>
                              <a:pt x="11" y="691"/>
                            </a:lnTo>
                            <a:lnTo>
                              <a:pt x="1" y="768"/>
                            </a:lnTo>
                            <a:lnTo>
                              <a:pt x="0" y="768"/>
                            </a:lnTo>
                            <a:lnTo>
                              <a:pt x="0" y="780"/>
                            </a:lnTo>
                            <a:lnTo>
                              <a:pt x="1" y="780"/>
                            </a:lnTo>
                            <a:lnTo>
                              <a:pt x="1" y="794"/>
                            </a:lnTo>
                            <a:lnTo>
                              <a:pt x="3" y="808"/>
                            </a:lnTo>
                            <a:lnTo>
                              <a:pt x="4" y="823"/>
                            </a:lnTo>
                            <a:lnTo>
                              <a:pt x="7" y="837"/>
                            </a:lnTo>
                            <a:lnTo>
                              <a:pt x="205" y="837"/>
                            </a:lnTo>
                            <a:lnTo>
                              <a:pt x="200" y="822"/>
                            </a:lnTo>
                            <a:lnTo>
                              <a:pt x="196" y="806"/>
                            </a:lnTo>
                            <a:lnTo>
                              <a:pt x="194" y="790"/>
                            </a:lnTo>
                            <a:lnTo>
                              <a:pt x="193" y="774"/>
                            </a:lnTo>
                            <a:lnTo>
                              <a:pt x="210" y="698"/>
                            </a:lnTo>
                            <a:lnTo>
                              <a:pt x="254" y="635"/>
                            </a:lnTo>
                            <a:lnTo>
                              <a:pt x="317" y="594"/>
                            </a:lnTo>
                            <a:lnTo>
                              <a:pt x="394" y="578"/>
                            </a:lnTo>
                            <a:lnTo>
                              <a:pt x="788" y="578"/>
                            </a:lnTo>
                            <a:lnTo>
                              <a:pt x="788" y="442"/>
                            </a:lnTo>
                            <a:lnTo>
                              <a:pt x="595" y="442"/>
                            </a:lnTo>
                            <a:lnTo>
                              <a:pt x="549" y="418"/>
                            </a:lnTo>
                            <a:lnTo>
                              <a:pt x="500" y="401"/>
                            </a:lnTo>
                            <a:lnTo>
                              <a:pt x="448" y="390"/>
                            </a:lnTo>
                            <a:lnTo>
                              <a:pt x="394" y="386"/>
                            </a:lnTo>
                            <a:close/>
                            <a:moveTo>
                              <a:pt x="788" y="578"/>
                            </a:moveTo>
                            <a:lnTo>
                              <a:pt x="394" y="578"/>
                            </a:lnTo>
                            <a:lnTo>
                              <a:pt x="470" y="593"/>
                            </a:lnTo>
                            <a:lnTo>
                              <a:pt x="532" y="634"/>
                            </a:lnTo>
                            <a:lnTo>
                              <a:pt x="576" y="694"/>
                            </a:lnTo>
                            <a:lnTo>
                              <a:pt x="595" y="768"/>
                            </a:lnTo>
                            <a:lnTo>
                              <a:pt x="594" y="768"/>
                            </a:lnTo>
                            <a:lnTo>
                              <a:pt x="593" y="786"/>
                            </a:lnTo>
                            <a:lnTo>
                              <a:pt x="591" y="803"/>
                            </a:lnTo>
                            <a:lnTo>
                              <a:pt x="587" y="820"/>
                            </a:lnTo>
                            <a:lnTo>
                              <a:pt x="582" y="837"/>
                            </a:lnTo>
                            <a:lnTo>
                              <a:pt x="788" y="837"/>
                            </a:lnTo>
                            <a:lnTo>
                              <a:pt x="788" y="578"/>
                            </a:lnTo>
                            <a:close/>
                            <a:moveTo>
                              <a:pt x="732" y="194"/>
                            </a:moveTo>
                            <a:lnTo>
                              <a:pt x="394" y="194"/>
                            </a:lnTo>
                            <a:lnTo>
                              <a:pt x="472" y="210"/>
                            </a:lnTo>
                            <a:lnTo>
                              <a:pt x="536" y="253"/>
                            </a:lnTo>
                            <a:lnTo>
                              <a:pt x="580" y="317"/>
                            </a:lnTo>
                            <a:lnTo>
                              <a:pt x="595" y="395"/>
                            </a:lnTo>
                            <a:lnTo>
                              <a:pt x="595" y="442"/>
                            </a:lnTo>
                            <a:lnTo>
                              <a:pt x="788" y="442"/>
                            </a:lnTo>
                            <a:lnTo>
                              <a:pt x="787" y="394"/>
                            </a:lnTo>
                            <a:lnTo>
                              <a:pt x="781" y="325"/>
                            </a:lnTo>
                            <a:lnTo>
                              <a:pt x="763" y="258"/>
                            </a:lnTo>
                            <a:lnTo>
                              <a:pt x="734" y="197"/>
                            </a:lnTo>
                            <a:lnTo>
                              <a:pt x="732" y="194"/>
                            </a:lnTo>
                            <a:close/>
                            <a:moveTo>
                              <a:pt x="394" y="2"/>
                            </a:moveTo>
                            <a:lnTo>
                              <a:pt x="313" y="10"/>
                            </a:lnTo>
                            <a:lnTo>
                              <a:pt x="237" y="34"/>
                            </a:lnTo>
                            <a:lnTo>
                              <a:pt x="169" y="73"/>
                            </a:lnTo>
                            <a:lnTo>
                              <a:pt x="110" y="123"/>
                            </a:lnTo>
                            <a:lnTo>
                              <a:pt x="62" y="184"/>
                            </a:lnTo>
                            <a:lnTo>
                              <a:pt x="27" y="254"/>
                            </a:lnTo>
                            <a:lnTo>
                              <a:pt x="6" y="331"/>
                            </a:lnTo>
                            <a:lnTo>
                              <a:pt x="203" y="331"/>
                            </a:lnTo>
                            <a:lnTo>
                              <a:pt x="232" y="276"/>
                            </a:lnTo>
                            <a:lnTo>
                              <a:pt x="276" y="233"/>
                            </a:lnTo>
                            <a:lnTo>
                              <a:pt x="331" y="204"/>
                            </a:lnTo>
                            <a:lnTo>
                              <a:pt x="394" y="194"/>
                            </a:lnTo>
                            <a:lnTo>
                              <a:pt x="732" y="194"/>
                            </a:lnTo>
                            <a:lnTo>
                              <a:pt x="695" y="142"/>
                            </a:lnTo>
                            <a:lnTo>
                              <a:pt x="647" y="95"/>
                            </a:lnTo>
                            <a:lnTo>
                              <a:pt x="592" y="56"/>
                            </a:lnTo>
                            <a:lnTo>
                              <a:pt x="531" y="27"/>
                            </a:lnTo>
                            <a:lnTo>
                              <a:pt x="465" y="8"/>
                            </a:lnTo>
                            <a:lnTo>
                              <a:pt x="394" y="2"/>
                            </a:lnTo>
                            <a:close/>
                          </a:path>
                        </a:pathLst>
                      </a:custGeom>
                      <a:solidFill>
                        <a:srgbClr val="F0533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C8128" id="AutoShape 1" o:spid="_x0000_s1026" style="position:absolute;margin-left:42.5pt;margin-top:42.5pt;width:113.4pt;height:43.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8,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" path="m1876,r-71,7l1739,25r-61,29l1623,93r-48,48l1536,195r-29,62l1489,323r-7,71l1482,472r7,71l1507,609r29,61l1575,725r48,48l1678,812r61,29l1805,859r71,7l1951,858r71,-20l2086,805r57,-44l2191,708r21,-35l1876,673r-78,-15l1734,614r-44,-64l1675,472r,-78l1690,316r44,-64l1798,208r78,-15l2212,193r-21,-34l2143,105,2086,61,2022,28,1951,8,1876,xm1283,28r-72,7l1142,54r-62,31l1024,126r-48,50l938,233r-28,64l894,367r-4,54l890,837r192,l1082,421r16,-78l1141,279r64,-43l1283,220r151,l1443,200r28,-57l1502,95,1453,66,1400,45,1343,32r-60,-4xm2268,506r-194,l2051,572r-45,53l1947,661r-71,12l2212,673r16,-26l2255,579r13,-73xm2212,193r-336,l1947,205r60,36l2051,295r24,67l2268,362r-13,-74l2229,220r-17,-27xm1434,220r-151,l1320,223r34,10l1385,248r29,20l1422,248r12,-28xm394,386r-78,8l243,416r-66,35l120,498,72,554,35,619,11,691,1,768r-1,l,780r1,l1,794r2,14l4,823r3,14l205,837r-5,-15l196,806r-2,-16l193,774r17,-76l254,635r63,-41l394,578r394,l788,442r-193,l549,418,500,401,448,390r-54,-4xm788,578r-394,l470,593r62,41l576,694r19,74l594,768r-1,18l591,803r-4,17l582,837r206,l788,578xm732,194r-338,l472,210r64,43l580,317r15,78l595,442r193,l787,394r-6,-69l763,258,734,197r-2,-3xm394,2r-81,8l237,34,169,73r-59,50l62,184,27,254,6,331r197,l232,276r44,-43l331,204r63,-10l732,194,695,142,647,95,592,56,531,27,465,8,394,2xe" fillcolor="#f0533f" stroked="f">
              <v:path arrowok="t" o:connecttype="custom" o:connectlocs="1104265,555625;1000125,629285;945515,744855;945515,884555;1000125,1000125;1104265,1073785;1238885,1084580;1360805,1022985;1191260,967105;1073150,889000;1073150,740410;1191260,662305;1360805,606425;1238885,544830;768985,561975;650240,619760;577850,728345;565150,1071245;697230,757555;814705,679450;934085,630555;889000,568325;1440180,861060;1273810,936625;1404620,967105;1440180,861060;1236345,669925;1317625,769620;1415415,679450;814705,679450;879475,697230;910590,679450;154305,803910;45720,891540;635,1027430;635,1035050;2540,1062355;127000,1061720;122555,1031240;201295,916940;500380,820420;317500,794385;500380,906780;337820,942340;377190,1027430;372745,1060450;500380,906780;299720,673100;377825,790575;499745,789940;466090,664845;198755,546100;69850,617855;3810,749935;175260,687705;464820,662940;375920,575310;250190,541020" o:connectangles="0,0,0,0,0,0,0,0,0,0,0,0,0,0,0,0,0,0,0,0,0,0,0,0,0,0,0,0,0,0,0,0,0,0,0,0,0,0,0,0,0,0,0,0,0,0,0,0,0,0,0,0,0,0,0,0,0,0"/>
              <w10:wrap anchorx="page" anchory="page"/>
            </v:shape>
          </w:pict>
        </mc:Fallback>
      </mc:AlternateContent>
    </w:r>
    <w:r>
      <w:rPr>
        <w:noProof/>
        <w:lang w:val="en-US" w:eastAsia="en-US" w:bidi="ar-SA"/>
      </w:rPr>
      <mc:AlternateContent>
        <mc:Choice Requires="wps">
          <w:drawing>
            <wp:anchor distT="0" distB="0" distL="114300" distR="114300" simplePos="0" relativeHeight="251660288" behindDoc="0" locked="0" layoutInCell="1" allowOverlap="1" wp14:anchorId="3E351EF9" wp14:editId="16F2110C">
              <wp:simplePos x="0" y="0"/>
              <wp:positionH relativeFrom="page">
                <wp:posOffset>0</wp:posOffset>
              </wp:positionH>
              <wp:positionV relativeFrom="page">
                <wp:posOffset>10511790</wp:posOffset>
              </wp:positionV>
              <wp:extent cx="7559675" cy="179705"/>
              <wp:effectExtent l="0" t="0" r="0" b="190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9675" cy="179705"/>
                      </a:xfrm>
                      <a:prstGeom prst="rect">
                        <a:avLst/>
                      </a:prstGeom>
                      <a:solidFill>
                        <a:srgbClr val="F0533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87188" id="Rectangle 2" o:spid="_x0000_s1026" style="position:absolute;margin-left:0;margin-top:827.7pt;width:595.25pt;height:1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" fillcolor="#f0533f" stroked="f">
              <w10:wrap anchorx="page" anchory="page"/>
            </v:rect>
          </w:pict>
        </mc:Fallback>
      </mc:AlternateContent>
    </w:r>
    <w:r>
      <w:rPr>
        <w:color w:val="161B1D"/>
        <w:w w:val="105"/>
      </w:rPr>
      <w:t xml:space="preserve">   Bd. 1 Decembrie 1918, nr. 4, ap. 7, 400699, Cluj Napoca,</w:t>
    </w:r>
    <w:r>
      <w:rPr>
        <w:color w:val="161B1D"/>
        <w:spacing w:val="22"/>
        <w:w w:val="105"/>
      </w:rPr>
      <w:t xml:space="preserve"> </w:t>
    </w:r>
    <w:r>
      <w:rPr>
        <w:color w:val="161B1D"/>
        <w:w w:val="105"/>
      </w:rPr>
      <w:t>Romania</w:t>
    </w:r>
  </w:p>
  <w:p w14:paraId="3F71227B" w14:textId="77777777" w:rsidR="006C5742" w:rsidRDefault="006C5742" w:rsidP="006C5742">
    <w:pPr>
      <w:pStyle w:val="BodyText"/>
      <w:spacing w:before="8"/>
      <w:ind w:right="-914"/>
      <w:jc w:val="right"/>
    </w:pPr>
    <w:r>
      <w:rPr>
        <w:color w:val="161B1D"/>
        <w:spacing w:val="-5"/>
        <w:w w:val="115"/>
      </w:rPr>
      <w:t>Tel:</w:t>
    </w:r>
    <w:r>
      <w:rPr>
        <w:color w:val="161B1D"/>
        <w:spacing w:val="-32"/>
        <w:w w:val="115"/>
      </w:rPr>
      <w:t xml:space="preserve"> </w:t>
    </w:r>
    <w:r>
      <w:rPr>
        <w:color w:val="161B1D"/>
        <w:w w:val="115"/>
      </w:rPr>
      <w:t>+</w:t>
    </w:r>
    <w:r>
      <w:rPr>
        <w:color w:val="161B1D"/>
        <w:spacing w:val="-32"/>
        <w:w w:val="115"/>
      </w:rPr>
      <w:t xml:space="preserve"> </w:t>
    </w:r>
    <w:r>
      <w:rPr>
        <w:color w:val="161B1D"/>
        <w:w w:val="115"/>
      </w:rPr>
      <w:t>(40)</w:t>
    </w:r>
    <w:r>
      <w:rPr>
        <w:color w:val="161B1D"/>
        <w:spacing w:val="-32"/>
        <w:w w:val="115"/>
      </w:rPr>
      <w:t xml:space="preserve"> </w:t>
    </w:r>
    <w:r>
      <w:rPr>
        <w:color w:val="161B1D"/>
        <w:w w:val="115"/>
      </w:rPr>
      <w:t>264</w:t>
    </w:r>
    <w:r>
      <w:rPr>
        <w:color w:val="161B1D"/>
        <w:spacing w:val="-31"/>
        <w:w w:val="115"/>
      </w:rPr>
      <w:t xml:space="preserve"> </w:t>
    </w:r>
    <w:r>
      <w:rPr>
        <w:color w:val="161B1D"/>
        <w:w w:val="115"/>
      </w:rPr>
      <w:t>406388;</w:t>
    </w:r>
    <w:r>
      <w:rPr>
        <w:color w:val="161B1D"/>
        <w:spacing w:val="-32"/>
        <w:w w:val="115"/>
      </w:rPr>
      <w:t xml:space="preserve"> </w:t>
    </w:r>
    <w:r>
      <w:rPr>
        <w:color w:val="161B1D"/>
        <w:w w:val="115"/>
      </w:rPr>
      <w:t>Fax:</w:t>
    </w:r>
    <w:r>
      <w:rPr>
        <w:color w:val="161B1D"/>
        <w:spacing w:val="-32"/>
        <w:w w:val="115"/>
      </w:rPr>
      <w:t xml:space="preserve"> </w:t>
    </w:r>
    <w:r>
      <w:rPr>
        <w:color w:val="161B1D"/>
        <w:w w:val="115"/>
      </w:rPr>
      <w:t>+</w:t>
    </w:r>
    <w:r>
      <w:rPr>
        <w:color w:val="161B1D"/>
        <w:spacing w:val="-32"/>
        <w:w w:val="115"/>
      </w:rPr>
      <w:t xml:space="preserve"> </w:t>
    </w:r>
    <w:r>
      <w:rPr>
        <w:color w:val="161B1D"/>
        <w:w w:val="115"/>
      </w:rPr>
      <w:t>(40)</w:t>
    </w:r>
    <w:r>
      <w:rPr>
        <w:color w:val="161B1D"/>
        <w:spacing w:val="-31"/>
        <w:w w:val="115"/>
      </w:rPr>
      <w:t xml:space="preserve"> </w:t>
    </w:r>
    <w:r>
      <w:rPr>
        <w:color w:val="161B1D"/>
        <w:w w:val="115"/>
      </w:rPr>
      <w:t>264</w:t>
    </w:r>
    <w:r>
      <w:rPr>
        <w:color w:val="161B1D"/>
        <w:spacing w:val="-32"/>
        <w:w w:val="115"/>
      </w:rPr>
      <w:t xml:space="preserve"> </w:t>
    </w:r>
    <w:r>
      <w:rPr>
        <w:color w:val="161B1D"/>
        <w:w w:val="115"/>
      </w:rPr>
      <w:t>406389</w:t>
    </w:r>
  </w:p>
  <w:p w14:paraId="7244A25F" w14:textId="77777777" w:rsidR="006C5742" w:rsidRDefault="006C5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AB3E49"/>
    <w:multiLevelType w:val="hybridMultilevel"/>
    <w:tmpl w:val="6F44FFF4"/>
    <w:lvl w:ilvl="0" w:tplc="3014C670">
      <w:start w:val="7"/>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42"/>
    <w:rsid w:val="00045FB3"/>
    <w:rsid w:val="0012710C"/>
    <w:rsid w:val="002A2D8F"/>
    <w:rsid w:val="002C3283"/>
    <w:rsid w:val="002C52E3"/>
    <w:rsid w:val="0034012E"/>
    <w:rsid w:val="003D5D09"/>
    <w:rsid w:val="004A6570"/>
    <w:rsid w:val="004C13F6"/>
    <w:rsid w:val="004F3B4F"/>
    <w:rsid w:val="0069419C"/>
    <w:rsid w:val="006C5742"/>
    <w:rsid w:val="00717DF5"/>
    <w:rsid w:val="00734528"/>
    <w:rsid w:val="0079374A"/>
    <w:rsid w:val="007D43F0"/>
    <w:rsid w:val="008F3F3F"/>
    <w:rsid w:val="00902366"/>
    <w:rsid w:val="00987628"/>
    <w:rsid w:val="00A644C1"/>
    <w:rsid w:val="00A745A2"/>
    <w:rsid w:val="00A94A83"/>
    <w:rsid w:val="00C85EF3"/>
    <w:rsid w:val="00CB4AA7"/>
    <w:rsid w:val="00CD48BA"/>
    <w:rsid w:val="00DA2EAE"/>
    <w:rsid w:val="00EB30BD"/>
    <w:rsid w:val="00EE5CB8"/>
    <w:rsid w:val="00F858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5F9775"/>
  <w14:defaultImageDpi w14:val="300"/>
  <w15:docId w15:val="{7D9B016F-FC76-C84E-B891-A4EA6C4F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inorEastAsia" w:hAnsiTheme="maj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745A2"/>
    <w:pPr>
      <w:keepNext/>
      <w:keepLines/>
      <w:spacing w:before="24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02366"/>
    <w:pPr>
      <w:keepNext/>
      <w:keepLines/>
      <w:spacing w:before="4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742"/>
    <w:pPr>
      <w:tabs>
        <w:tab w:val="center" w:pos="4320"/>
        <w:tab w:val="right" w:pos="8640"/>
      </w:tabs>
    </w:pPr>
  </w:style>
  <w:style w:type="character" w:customStyle="1" w:styleId="HeaderChar">
    <w:name w:val="Header Char"/>
    <w:basedOn w:val="DefaultParagraphFont"/>
    <w:link w:val="Header"/>
    <w:uiPriority w:val="99"/>
    <w:rsid w:val="006C5742"/>
    <w:rPr>
      <w:noProof/>
    </w:rPr>
  </w:style>
  <w:style w:type="paragraph" w:styleId="Footer">
    <w:name w:val="footer"/>
    <w:basedOn w:val="Normal"/>
    <w:link w:val="FooterChar"/>
    <w:uiPriority w:val="99"/>
    <w:unhideWhenUsed/>
    <w:rsid w:val="006C5742"/>
    <w:pPr>
      <w:tabs>
        <w:tab w:val="center" w:pos="4320"/>
        <w:tab w:val="right" w:pos="8640"/>
      </w:tabs>
    </w:pPr>
  </w:style>
  <w:style w:type="character" w:customStyle="1" w:styleId="FooterChar">
    <w:name w:val="Footer Char"/>
    <w:basedOn w:val="DefaultParagraphFont"/>
    <w:link w:val="Footer"/>
    <w:uiPriority w:val="99"/>
    <w:rsid w:val="006C5742"/>
    <w:rPr>
      <w:noProof/>
    </w:rPr>
  </w:style>
  <w:style w:type="paragraph" w:styleId="BodyText">
    <w:name w:val="Body Text"/>
    <w:basedOn w:val="Normal"/>
    <w:link w:val="BodyTextChar"/>
    <w:uiPriority w:val="1"/>
    <w:qFormat/>
    <w:rsid w:val="006C5742"/>
    <w:pPr>
      <w:widowControl w:val="0"/>
      <w:autoSpaceDE w:val="0"/>
      <w:autoSpaceDN w:val="0"/>
    </w:pPr>
    <w:rPr>
      <w:rFonts w:ascii="Gill Sans MT" w:eastAsia="Gill Sans MT" w:hAnsi="Gill Sans MT" w:cs="Gill Sans MT"/>
      <w:noProof w:val="0"/>
      <w:sz w:val="20"/>
      <w:szCs w:val="20"/>
      <w:lang w:val="ro-RO" w:eastAsia="ro-RO" w:bidi="ro-RO"/>
    </w:rPr>
  </w:style>
  <w:style w:type="character" w:customStyle="1" w:styleId="BodyTextChar">
    <w:name w:val="Body Text Char"/>
    <w:basedOn w:val="DefaultParagraphFont"/>
    <w:link w:val="BodyText"/>
    <w:uiPriority w:val="1"/>
    <w:rsid w:val="006C5742"/>
    <w:rPr>
      <w:rFonts w:ascii="Gill Sans MT" w:eastAsia="Gill Sans MT" w:hAnsi="Gill Sans MT" w:cs="Gill Sans MT"/>
      <w:sz w:val="20"/>
      <w:szCs w:val="20"/>
      <w:lang w:val="ro-RO" w:eastAsia="ro-RO" w:bidi="ro-RO"/>
    </w:rPr>
  </w:style>
  <w:style w:type="paragraph" w:styleId="FootnoteText">
    <w:name w:val="footnote text"/>
    <w:basedOn w:val="Normal"/>
    <w:link w:val="FootnoteTextChar"/>
    <w:uiPriority w:val="99"/>
    <w:semiHidden/>
    <w:unhideWhenUsed/>
    <w:rsid w:val="00CB4AA7"/>
    <w:rPr>
      <w:sz w:val="20"/>
      <w:szCs w:val="20"/>
    </w:rPr>
  </w:style>
  <w:style w:type="character" w:customStyle="1" w:styleId="FootnoteTextChar">
    <w:name w:val="Footnote Text Char"/>
    <w:basedOn w:val="DefaultParagraphFont"/>
    <w:link w:val="FootnoteText"/>
    <w:uiPriority w:val="99"/>
    <w:semiHidden/>
    <w:rsid w:val="00CB4AA7"/>
    <w:rPr>
      <w:noProof/>
      <w:sz w:val="20"/>
      <w:szCs w:val="20"/>
    </w:rPr>
  </w:style>
  <w:style w:type="character" w:styleId="FootnoteReference">
    <w:name w:val="footnote reference"/>
    <w:basedOn w:val="DefaultParagraphFont"/>
    <w:uiPriority w:val="99"/>
    <w:semiHidden/>
    <w:unhideWhenUsed/>
    <w:rsid w:val="00CB4AA7"/>
    <w:rPr>
      <w:vertAlign w:val="superscript"/>
    </w:rPr>
  </w:style>
  <w:style w:type="character" w:styleId="Hyperlink">
    <w:name w:val="Hyperlink"/>
    <w:basedOn w:val="DefaultParagraphFont"/>
    <w:uiPriority w:val="99"/>
    <w:unhideWhenUsed/>
    <w:rsid w:val="00CB4AA7"/>
    <w:rPr>
      <w:color w:val="0000FF" w:themeColor="hyperlink"/>
      <w:u w:val="single"/>
    </w:rPr>
  </w:style>
  <w:style w:type="character" w:styleId="UnresolvedMention">
    <w:name w:val="Unresolved Mention"/>
    <w:basedOn w:val="DefaultParagraphFont"/>
    <w:uiPriority w:val="99"/>
    <w:semiHidden/>
    <w:unhideWhenUsed/>
    <w:rsid w:val="00CB4AA7"/>
    <w:rPr>
      <w:color w:val="605E5C"/>
      <w:shd w:val="clear" w:color="auto" w:fill="E1DFDD"/>
    </w:rPr>
  </w:style>
  <w:style w:type="character" w:customStyle="1" w:styleId="Heading1Char">
    <w:name w:val="Heading 1 Char"/>
    <w:basedOn w:val="DefaultParagraphFont"/>
    <w:link w:val="Heading1"/>
    <w:uiPriority w:val="9"/>
    <w:rsid w:val="00A745A2"/>
    <w:rPr>
      <w:rFonts w:eastAsiaTheme="majorEastAsia" w:cstheme="majorBidi"/>
      <w:noProof/>
      <w:color w:val="365F91" w:themeColor="accent1" w:themeShade="BF"/>
      <w:sz w:val="32"/>
      <w:szCs w:val="32"/>
    </w:rPr>
  </w:style>
  <w:style w:type="paragraph" w:styleId="ListParagraph">
    <w:name w:val="List Paragraph"/>
    <w:basedOn w:val="Normal"/>
    <w:uiPriority w:val="34"/>
    <w:qFormat/>
    <w:rsid w:val="00A644C1"/>
    <w:pPr>
      <w:ind w:left="720"/>
      <w:contextualSpacing/>
    </w:pPr>
  </w:style>
  <w:style w:type="character" w:styleId="CommentReference">
    <w:name w:val="annotation reference"/>
    <w:basedOn w:val="DefaultParagraphFont"/>
    <w:uiPriority w:val="99"/>
    <w:semiHidden/>
    <w:unhideWhenUsed/>
    <w:rsid w:val="0069419C"/>
    <w:rPr>
      <w:sz w:val="16"/>
      <w:szCs w:val="16"/>
    </w:rPr>
  </w:style>
  <w:style w:type="paragraph" w:styleId="CommentText">
    <w:name w:val="annotation text"/>
    <w:basedOn w:val="Normal"/>
    <w:link w:val="CommentTextChar"/>
    <w:uiPriority w:val="99"/>
    <w:semiHidden/>
    <w:unhideWhenUsed/>
    <w:rsid w:val="0069419C"/>
    <w:rPr>
      <w:sz w:val="20"/>
      <w:szCs w:val="20"/>
    </w:rPr>
  </w:style>
  <w:style w:type="character" w:customStyle="1" w:styleId="CommentTextChar">
    <w:name w:val="Comment Text Char"/>
    <w:basedOn w:val="DefaultParagraphFont"/>
    <w:link w:val="CommentText"/>
    <w:uiPriority w:val="99"/>
    <w:semiHidden/>
    <w:rsid w:val="0069419C"/>
    <w:rPr>
      <w:noProof/>
      <w:sz w:val="20"/>
      <w:szCs w:val="20"/>
    </w:rPr>
  </w:style>
  <w:style w:type="paragraph" w:styleId="CommentSubject">
    <w:name w:val="annotation subject"/>
    <w:basedOn w:val="CommentText"/>
    <w:next w:val="CommentText"/>
    <w:link w:val="CommentSubjectChar"/>
    <w:uiPriority w:val="99"/>
    <w:semiHidden/>
    <w:unhideWhenUsed/>
    <w:rsid w:val="0069419C"/>
    <w:rPr>
      <w:b/>
      <w:bCs/>
    </w:rPr>
  </w:style>
  <w:style w:type="character" w:customStyle="1" w:styleId="CommentSubjectChar">
    <w:name w:val="Comment Subject Char"/>
    <w:basedOn w:val="CommentTextChar"/>
    <w:link w:val="CommentSubject"/>
    <w:uiPriority w:val="99"/>
    <w:semiHidden/>
    <w:rsid w:val="0069419C"/>
    <w:rPr>
      <w:b/>
      <w:bCs/>
      <w:noProof/>
      <w:sz w:val="20"/>
      <w:szCs w:val="20"/>
    </w:rPr>
  </w:style>
  <w:style w:type="paragraph" w:styleId="BalloonText">
    <w:name w:val="Balloon Text"/>
    <w:basedOn w:val="Normal"/>
    <w:link w:val="BalloonTextChar"/>
    <w:uiPriority w:val="99"/>
    <w:semiHidden/>
    <w:unhideWhenUsed/>
    <w:rsid w:val="006941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19C"/>
    <w:rPr>
      <w:rFonts w:ascii="Segoe UI" w:hAnsi="Segoe UI" w:cs="Segoe UI"/>
      <w:noProof/>
      <w:sz w:val="18"/>
      <w:szCs w:val="18"/>
    </w:rPr>
  </w:style>
  <w:style w:type="character" w:customStyle="1" w:styleId="Heading2Char">
    <w:name w:val="Heading 2 Char"/>
    <w:basedOn w:val="DefaultParagraphFont"/>
    <w:link w:val="Heading2"/>
    <w:uiPriority w:val="9"/>
    <w:semiHidden/>
    <w:rsid w:val="00902366"/>
    <w:rPr>
      <w:rFonts w:eastAsiaTheme="majorEastAsia" w:cstheme="majorBidi"/>
      <w:noProof/>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5639790">
      <w:bodyDiv w:val="1"/>
      <w:marLeft w:val="0"/>
      <w:marRight w:val="0"/>
      <w:marTop w:val="0"/>
      <w:marBottom w:val="0"/>
      <w:divBdr>
        <w:top w:val="none" w:sz="0" w:space="0" w:color="auto"/>
        <w:left w:val="none" w:sz="0" w:space="0" w:color="auto"/>
        <w:bottom w:val="none" w:sz="0" w:space="0" w:color="auto"/>
        <w:right w:val="none" w:sz="0" w:space="0" w:color="auto"/>
      </w:divBdr>
    </w:div>
    <w:div w:id="375205860">
      <w:bodyDiv w:val="1"/>
      <w:marLeft w:val="0"/>
      <w:marRight w:val="0"/>
      <w:marTop w:val="0"/>
      <w:marBottom w:val="0"/>
      <w:divBdr>
        <w:top w:val="none" w:sz="0" w:space="0" w:color="auto"/>
        <w:left w:val="none" w:sz="0" w:space="0" w:color="auto"/>
        <w:bottom w:val="none" w:sz="0" w:space="0" w:color="auto"/>
        <w:right w:val="none" w:sz="0" w:space="0" w:color="auto"/>
      </w:divBdr>
    </w:div>
    <w:div w:id="441803020">
      <w:bodyDiv w:val="1"/>
      <w:marLeft w:val="0"/>
      <w:marRight w:val="0"/>
      <w:marTop w:val="0"/>
      <w:marBottom w:val="0"/>
      <w:divBdr>
        <w:top w:val="none" w:sz="0" w:space="0" w:color="auto"/>
        <w:left w:val="none" w:sz="0" w:space="0" w:color="auto"/>
        <w:bottom w:val="none" w:sz="0" w:space="0" w:color="auto"/>
        <w:right w:val="none" w:sz="0" w:space="0" w:color="auto"/>
      </w:divBdr>
    </w:div>
    <w:div w:id="675303764">
      <w:bodyDiv w:val="1"/>
      <w:marLeft w:val="0"/>
      <w:marRight w:val="0"/>
      <w:marTop w:val="0"/>
      <w:marBottom w:val="0"/>
      <w:divBdr>
        <w:top w:val="none" w:sz="0" w:space="0" w:color="auto"/>
        <w:left w:val="none" w:sz="0" w:space="0" w:color="auto"/>
        <w:bottom w:val="none" w:sz="0" w:space="0" w:color="auto"/>
        <w:right w:val="none" w:sz="0" w:space="0" w:color="auto"/>
      </w:divBdr>
    </w:div>
    <w:div w:id="733966213">
      <w:bodyDiv w:val="1"/>
      <w:marLeft w:val="0"/>
      <w:marRight w:val="0"/>
      <w:marTop w:val="0"/>
      <w:marBottom w:val="0"/>
      <w:divBdr>
        <w:top w:val="none" w:sz="0" w:space="0" w:color="auto"/>
        <w:left w:val="none" w:sz="0" w:space="0" w:color="auto"/>
        <w:bottom w:val="none" w:sz="0" w:space="0" w:color="auto"/>
        <w:right w:val="none" w:sz="0" w:space="0" w:color="auto"/>
      </w:divBdr>
    </w:div>
    <w:div w:id="846166074">
      <w:bodyDiv w:val="1"/>
      <w:marLeft w:val="0"/>
      <w:marRight w:val="0"/>
      <w:marTop w:val="0"/>
      <w:marBottom w:val="0"/>
      <w:divBdr>
        <w:top w:val="none" w:sz="0" w:space="0" w:color="auto"/>
        <w:left w:val="none" w:sz="0" w:space="0" w:color="auto"/>
        <w:bottom w:val="none" w:sz="0" w:space="0" w:color="auto"/>
        <w:right w:val="none" w:sz="0" w:space="0" w:color="auto"/>
      </w:divBdr>
    </w:div>
    <w:div w:id="893657001">
      <w:bodyDiv w:val="1"/>
      <w:marLeft w:val="0"/>
      <w:marRight w:val="0"/>
      <w:marTop w:val="0"/>
      <w:marBottom w:val="0"/>
      <w:divBdr>
        <w:top w:val="none" w:sz="0" w:space="0" w:color="auto"/>
        <w:left w:val="none" w:sz="0" w:space="0" w:color="auto"/>
        <w:bottom w:val="none" w:sz="0" w:space="0" w:color="auto"/>
        <w:right w:val="none" w:sz="0" w:space="0" w:color="auto"/>
      </w:divBdr>
    </w:div>
    <w:div w:id="1005061543">
      <w:bodyDiv w:val="1"/>
      <w:marLeft w:val="0"/>
      <w:marRight w:val="0"/>
      <w:marTop w:val="0"/>
      <w:marBottom w:val="0"/>
      <w:divBdr>
        <w:top w:val="none" w:sz="0" w:space="0" w:color="auto"/>
        <w:left w:val="none" w:sz="0" w:space="0" w:color="auto"/>
        <w:bottom w:val="none" w:sz="0" w:space="0" w:color="auto"/>
        <w:right w:val="none" w:sz="0" w:space="0" w:color="auto"/>
      </w:divBdr>
    </w:div>
    <w:div w:id="1035233182">
      <w:bodyDiv w:val="1"/>
      <w:marLeft w:val="0"/>
      <w:marRight w:val="0"/>
      <w:marTop w:val="0"/>
      <w:marBottom w:val="0"/>
      <w:divBdr>
        <w:top w:val="none" w:sz="0" w:space="0" w:color="auto"/>
        <w:left w:val="none" w:sz="0" w:space="0" w:color="auto"/>
        <w:bottom w:val="none" w:sz="0" w:space="0" w:color="auto"/>
        <w:right w:val="none" w:sz="0" w:space="0" w:color="auto"/>
      </w:divBdr>
    </w:div>
    <w:div w:id="1224177240">
      <w:bodyDiv w:val="1"/>
      <w:marLeft w:val="0"/>
      <w:marRight w:val="0"/>
      <w:marTop w:val="0"/>
      <w:marBottom w:val="0"/>
      <w:divBdr>
        <w:top w:val="none" w:sz="0" w:space="0" w:color="auto"/>
        <w:left w:val="none" w:sz="0" w:space="0" w:color="auto"/>
        <w:bottom w:val="none" w:sz="0" w:space="0" w:color="auto"/>
        <w:right w:val="none" w:sz="0" w:space="0" w:color="auto"/>
      </w:divBdr>
    </w:div>
    <w:div w:id="1225877363">
      <w:bodyDiv w:val="1"/>
      <w:marLeft w:val="0"/>
      <w:marRight w:val="0"/>
      <w:marTop w:val="0"/>
      <w:marBottom w:val="0"/>
      <w:divBdr>
        <w:top w:val="none" w:sz="0" w:space="0" w:color="auto"/>
        <w:left w:val="none" w:sz="0" w:space="0" w:color="auto"/>
        <w:bottom w:val="none" w:sz="0" w:space="0" w:color="auto"/>
        <w:right w:val="none" w:sz="0" w:space="0" w:color="auto"/>
      </w:divBdr>
    </w:div>
    <w:div w:id="1466583616">
      <w:bodyDiv w:val="1"/>
      <w:marLeft w:val="0"/>
      <w:marRight w:val="0"/>
      <w:marTop w:val="0"/>
      <w:marBottom w:val="0"/>
      <w:divBdr>
        <w:top w:val="none" w:sz="0" w:space="0" w:color="auto"/>
        <w:left w:val="none" w:sz="0" w:space="0" w:color="auto"/>
        <w:bottom w:val="none" w:sz="0" w:space="0" w:color="auto"/>
        <w:right w:val="none" w:sz="0" w:space="0" w:color="auto"/>
      </w:divBdr>
    </w:div>
    <w:div w:id="1622295744">
      <w:bodyDiv w:val="1"/>
      <w:marLeft w:val="0"/>
      <w:marRight w:val="0"/>
      <w:marTop w:val="0"/>
      <w:marBottom w:val="0"/>
      <w:divBdr>
        <w:top w:val="none" w:sz="0" w:space="0" w:color="auto"/>
        <w:left w:val="none" w:sz="0" w:space="0" w:color="auto"/>
        <w:bottom w:val="none" w:sz="0" w:space="0" w:color="auto"/>
        <w:right w:val="none" w:sz="0" w:space="0" w:color="auto"/>
      </w:divBdr>
    </w:div>
    <w:div w:id="1631979156">
      <w:bodyDiv w:val="1"/>
      <w:marLeft w:val="0"/>
      <w:marRight w:val="0"/>
      <w:marTop w:val="0"/>
      <w:marBottom w:val="0"/>
      <w:divBdr>
        <w:top w:val="none" w:sz="0" w:space="0" w:color="auto"/>
        <w:left w:val="none" w:sz="0" w:space="0" w:color="auto"/>
        <w:bottom w:val="none" w:sz="0" w:space="0" w:color="auto"/>
        <w:right w:val="none" w:sz="0" w:space="0" w:color="auto"/>
      </w:divBdr>
    </w:div>
    <w:div w:id="1661349341">
      <w:bodyDiv w:val="1"/>
      <w:marLeft w:val="0"/>
      <w:marRight w:val="0"/>
      <w:marTop w:val="0"/>
      <w:marBottom w:val="0"/>
      <w:divBdr>
        <w:top w:val="none" w:sz="0" w:space="0" w:color="auto"/>
        <w:left w:val="none" w:sz="0" w:space="0" w:color="auto"/>
        <w:bottom w:val="none" w:sz="0" w:space="0" w:color="auto"/>
        <w:right w:val="none" w:sz="0" w:space="0" w:color="auto"/>
      </w:divBdr>
    </w:div>
    <w:div w:id="1888251656">
      <w:bodyDiv w:val="1"/>
      <w:marLeft w:val="0"/>
      <w:marRight w:val="0"/>
      <w:marTop w:val="0"/>
      <w:marBottom w:val="0"/>
      <w:divBdr>
        <w:top w:val="none" w:sz="0" w:space="0" w:color="auto"/>
        <w:left w:val="none" w:sz="0" w:space="0" w:color="auto"/>
        <w:bottom w:val="none" w:sz="0" w:space="0" w:color="auto"/>
        <w:right w:val="none" w:sz="0" w:space="0" w:color="auto"/>
      </w:divBdr>
    </w:div>
    <w:div w:id="2040618596">
      <w:bodyDiv w:val="1"/>
      <w:marLeft w:val="0"/>
      <w:marRight w:val="0"/>
      <w:marTop w:val="0"/>
      <w:marBottom w:val="0"/>
      <w:divBdr>
        <w:top w:val="none" w:sz="0" w:space="0" w:color="auto"/>
        <w:left w:val="none" w:sz="0" w:space="0" w:color="auto"/>
        <w:bottom w:val="none" w:sz="0" w:space="0" w:color="auto"/>
        <w:right w:val="none" w:sz="0" w:space="0" w:color="auto"/>
      </w:divBdr>
    </w:div>
    <w:div w:id="21097675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icf-fri.org/ro/raport-privind-potentialul-de-implicare-al-diasporei-in-comunitatile-din-tara-fagarasului/?fbclid=IwAR2F6KWdaNfMirCqAIhF-6ZpwZJUOp9RJr5NJu_rUXISE1CcUpG6yY4hEbs" TargetMode="External"/><Relationship Id="rId2" Type="http://schemas.openxmlformats.org/officeDocument/2006/relationships/hyperlink" Target="https://data.census.gov/cedsci/table?q=ancestry&amp;d=ACS%201-Year%20Estimates%20Detailed%20Tables&amp;tid=ACSDT1Y2019.B04004&amp;hidePreview=false" TargetMode="External"/><Relationship Id="rId1" Type="http://schemas.openxmlformats.org/officeDocument/2006/relationships/hyperlink" Target="https://www.bkd.com/article/2020/07/takeaways-giving-usa-2020-annual-report-philanthr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C1BAC-4434-2443-B928-BF51F8430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3</Pages>
  <Words>838</Words>
  <Characters>5080</Characters>
  <Application>Microsoft Office Word</Application>
  <DocSecurity>0</DocSecurity>
  <Lines>95</Lines>
  <Paragraphs>34</Paragraphs>
  <ScaleCrop>false</ScaleCrop>
  <Company>ARC</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Gurescu</dc:creator>
  <cp:keywords/>
  <dc:description/>
  <cp:lastModifiedBy>Lev Fejes</cp:lastModifiedBy>
  <cp:revision>23</cp:revision>
  <dcterms:created xsi:type="dcterms:W3CDTF">2020-12-14T13:29:00Z</dcterms:created>
  <dcterms:modified xsi:type="dcterms:W3CDTF">2020-12-17T09:14:00Z</dcterms:modified>
</cp:coreProperties>
</file>