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L4 — RAPPORT DE CERTIFICATION QUALITÉ DES DONNÉES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Base de données des infrastructures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Prestataire :</w:t>
      </w:r>
      <w:r>
        <w:rPr>
          <w:rFonts w:ascii="Calibri" w:hAnsi="Calibri"/>
        </w:rPr>
        <w:t xml:space="preserve"> [Nom du prestataire / consultant]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Évaluer et certifier la qualité des données de la base de référence de la plateforme ARMANI, au regard des critères de </w:t>
      </w:r>
      <w:r>
        <w:rPr>
          <w:rFonts w:ascii="Calibri" w:hAnsi="Calibri"/>
          <w:b/>
        </w:rPr>
        <w:t>complétude</w:t>
      </w:r>
      <w:r>
        <w:rPr>
          <w:rFonts w:ascii="Calibri" w:hAnsi="Calibri"/>
        </w:rPr>
        <w:t xml:space="preserve">, de </w:t>
      </w:r>
      <w:r>
        <w:rPr>
          <w:rFonts w:ascii="Calibri" w:hAnsi="Calibri"/>
          <w:b/>
        </w:rPr>
        <w:t>cohérence</w:t>
      </w:r>
      <w:r>
        <w:rPr>
          <w:rFonts w:ascii="Calibri" w:hAnsi="Calibri"/>
        </w:rPr>
        <w:t>, d'</w:t>
      </w:r>
      <w:r>
        <w:rPr>
          <w:rFonts w:ascii="Calibri" w:hAnsi="Calibri"/>
          <w:b/>
        </w:rPr>
        <w:t>exactitude</w:t>
      </w:r>
      <w:r>
        <w:rPr>
          <w:rFonts w:ascii="Calibri" w:hAnsi="Calibri"/>
        </w:rPr>
        <w:t xml:space="preserve"> et d'</w:t>
      </w:r>
      <w:r>
        <w:rPr>
          <w:rFonts w:ascii="Calibri" w:hAnsi="Calibri"/>
          <w:b/>
        </w:rPr>
        <w:t>unicité</w:t>
      </w:r>
      <w:r>
        <w:rPr>
          <w:rFonts w:ascii="Calibri" w:hAnsi="Calibri"/>
        </w:rPr>
        <w:t>, conformément à l'objectif R4 du TDR (taux de complétude ≥ 85 %).</w:t>
      </w:r>
    </w:p>
    <w:p>
      <w:pPr>
        <w:pStyle w:val="Heading2"/>
      </w:pPr>
      <w:r>
        <w:rPr>
          <w:rFonts w:ascii="Calibri" w:hAnsi="Calibri"/>
          <w:color w:val="0B6623"/>
        </w:rPr>
        <w:t>2. Périmètre et méthode</w:t>
      </w:r>
    </w:p>
    <w:p>
      <w:pPr>
        <w:pStyle w:val="ListBullet"/>
      </w:pPr>
      <w:r>
        <w:rPr>
          <w:rFonts w:ascii="Calibri" w:hAnsi="Calibri"/>
          <w:b/>
        </w:rPr>
        <w:t>Référentiel :</w:t>
      </w:r>
      <w:r>
        <w:rPr>
          <w:rFonts w:ascii="Calibri" w:hAnsi="Calibri"/>
        </w:rPr>
        <w:t xml:space="preserve"> table </w:t>
      </w:r>
      <w:r>
        <w:rPr>
          <w:rFonts w:ascii="Consolas" w:hAnsi="Consolas"/>
          <w:color w:val="8A1C1C"/>
          <w:sz w:val="18"/>
        </w:rPr>
        <w:t>infrastructures</w:t>
      </w:r>
      <w:r>
        <w:rPr>
          <w:rFonts w:ascii="Calibri" w:hAnsi="Calibri"/>
        </w:rPr>
        <w:t xml:space="preserve"> (base de référence) ;</w:t>
      </w:r>
    </w:p>
    <w:p>
      <w:pPr>
        <w:pStyle w:val="ListBullet"/>
      </w:pPr>
      <w:r>
        <w:rPr>
          <w:rFonts w:ascii="Calibri" w:hAnsi="Calibri"/>
          <w:b/>
        </w:rPr>
        <w:t>Volume analysé :</w:t>
      </w:r>
      <w:r>
        <w:rPr>
          <w:rFonts w:ascii="Calibri" w:hAnsi="Calibri"/>
        </w:rPr>
        <w:t xml:space="preserve"> 9 496 enregistrements ;</w:t>
      </w:r>
    </w:p>
    <w:p>
      <w:pPr>
        <w:pStyle w:val="ListBullet"/>
      </w:pPr>
      <w:r>
        <w:rPr>
          <w:rFonts w:ascii="Calibri" w:hAnsi="Calibri"/>
          <w:b/>
        </w:rPr>
        <w:t>Méthode :</w:t>
      </w:r>
      <w:r>
        <w:rPr>
          <w:rFonts w:ascii="Calibri" w:hAnsi="Calibri"/>
        </w:rPr>
        <w:t xml:space="preserve"> requêtes d'analyse de complétude sur les champs clés, contrôle de cohérence (statuts, clés étrangères, géoréférencement), détection des doublons.</w:t>
      </w:r>
    </w:p>
    <w:p>
      <w:pPr>
        <w:pStyle w:val="Heading2"/>
      </w:pPr>
      <w:r>
        <w:rPr>
          <w:rFonts w:ascii="Calibri" w:hAnsi="Calibri"/>
          <w:color w:val="0B6623"/>
        </w:rPr>
        <w:t>3. Résultats de complétude (réels)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Champ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Renseigné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Taux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Appréciation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Commune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Arrondissement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Village / Quartier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Secteur / domaine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État de fonctionnement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Coordonnées GPS (lat/long)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100 %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Année de réalisation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5 355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56,4 %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compléter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Bailleur / financement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6 124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64,5 %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compléter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Photos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9 496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0,05 %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⚠️ À enrichir</w:t>
            </w:r>
          </w:p>
        </w:tc>
      </w:tr>
    </w:tbl>
    <w:p/>
    <w:p>
      <w:r>
        <w:rPr>
          <w:rFonts w:ascii="Calibri" w:hAnsi="Calibri"/>
          <w:b/>
        </w:rPr>
        <w:t>Taux de complétude global pondéré : ≈ 80 %</w:t>
      </w:r>
      <w:r>
        <w:rPr>
          <w:rFonts w:ascii="Calibri" w:hAnsi="Calibri"/>
        </w:rPr>
        <w:t xml:space="preserve"> (champs clés 100 %, champs optionnels à renforcer).</w:t>
      </w:r>
    </w:p>
    <w:p>
      <w:pPr>
        <w:pStyle w:val="Heading2"/>
      </w:pPr>
      <w:r>
        <w:rPr>
          <w:rFonts w:ascii="Calibri" w:hAnsi="Calibri"/>
          <w:color w:val="0B6623"/>
        </w:rPr>
        <w:t>4. Cohérence et exactitude</w:t>
      </w:r>
    </w:p>
    <w:p>
      <w:pPr>
        <w:pStyle w:val="ListBullet"/>
      </w:pPr>
      <w:r>
        <w:rPr>
          <w:rFonts w:ascii="Calibri" w:hAnsi="Calibri"/>
          <w:b/>
        </w:rPr>
        <w:t>Statuts</w:t>
      </w:r>
      <w:r>
        <w:rPr>
          <w:rFonts w:ascii="Calibri" w:hAnsi="Calibri"/>
        </w:rPr>
        <w:t xml:space="preserve"> : 9 491 infrastructures validées (99,9 %), 5 en attente — cohérent avec le workflow de validation ;</w:t>
      </w:r>
    </w:p>
    <w:p>
      <w:pPr>
        <w:pStyle w:val="ListBullet"/>
      </w:pPr>
      <w:r>
        <w:rPr>
          <w:rFonts w:ascii="Calibri" w:hAnsi="Calibri"/>
          <w:b/>
        </w:rPr>
        <w:t>Géoréférencement</w:t>
      </w:r>
      <w:r>
        <w:rPr>
          <w:rFonts w:ascii="Calibri" w:hAnsi="Calibri"/>
        </w:rPr>
        <w:t xml:space="preserve"> : 100 % des infrastructures disposent de coordonnées GPS (lat/long) ;</w:t>
      </w:r>
    </w:p>
    <w:p>
      <w:pPr>
        <w:pStyle w:val="ListBullet"/>
      </w:pPr>
      <w:r>
        <w:rPr>
          <w:rFonts w:ascii="Calibri" w:hAnsi="Calibri"/>
          <w:b/>
        </w:rPr>
        <w:t>Clés étrangères / contraintes</w:t>
      </w:r>
      <w:r>
        <w:rPr>
          <w:rFonts w:ascii="Calibri" w:hAnsi="Calibri"/>
        </w:rPr>
        <w:t xml:space="preserve"> : base normalisée (3NF), contraintes NOT NULL et clés primaires/étrangères définies ;</w:t>
      </w:r>
    </w:p>
    <w:p>
      <w:pPr>
        <w:pStyle w:val="ListBullet"/>
      </w:pPr>
      <w:r>
        <w:rPr>
          <w:rFonts w:ascii="Calibri" w:hAnsi="Calibri"/>
          <w:b/>
        </w:rPr>
        <w:t>Unicité</w:t>
      </w:r>
      <w:r>
        <w:rPr>
          <w:rFonts w:ascii="Calibri" w:hAnsi="Calibri"/>
        </w:rPr>
        <w:t xml:space="preserve"> : aucune duplication constatée sur les identifiants ; un mécanisme de détection des doublons est prévu lors de l'import.</w:t>
      </w:r>
    </w:p>
    <w:p>
      <w:pPr>
        <w:pStyle w:val="Heading2"/>
      </w:pPr>
      <w:r>
        <w:rPr>
          <w:rFonts w:ascii="Calibri" w:hAnsi="Calibri"/>
          <w:color w:val="0B6623"/>
        </w:rPr>
        <w:t>5. Répartition par commune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Commune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Nombre d'infrastructures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Parakou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1 421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Bembereke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1 400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Tchaourou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1 366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Nikki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1 317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Kalale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1 098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N'Dali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1 065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Perere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998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Sinende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831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9 496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Actions de qualité des données réalisées</w:t>
      </w:r>
    </w:p>
    <w:p>
      <w:pPr>
        <w:pStyle w:val="ListBullet"/>
      </w:pPr>
      <w:r>
        <w:rPr>
          <w:rFonts w:ascii="Calibri" w:hAnsi="Calibri"/>
        </w:rPr>
        <w:t>Nettoyage et normalisation des données (communes, secteurs, arrondissements) ;</w:t>
      </w:r>
    </w:p>
    <w:p>
      <w:pPr>
        <w:pStyle w:val="ListBullet"/>
      </w:pPr>
      <w:r>
        <w:rPr>
          <w:rFonts w:ascii="Calibri" w:hAnsi="Calibri"/>
        </w:rPr>
        <w:t>Correction des incohérences et doublons lors de l'import ;</w:t>
      </w:r>
    </w:p>
    <w:p>
      <w:pPr>
        <w:pStyle w:val="ListBullet"/>
      </w:pPr>
      <w:r>
        <w:rPr>
          <w:rFonts w:ascii="Calibri" w:hAnsi="Calibri"/>
          <w:b/>
        </w:rPr>
        <w:t>Workflow de validation</w:t>
      </w:r>
      <w:r>
        <w:rPr>
          <w:rFonts w:ascii="Calibri" w:hAnsi="Calibri"/>
        </w:rPr>
        <w:t xml:space="preserve"> des saisies (pending → validé / rejeté avec motif) ;</w:t>
      </w:r>
    </w:p>
    <w:p>
      <w:pPr>
        <w:pStyle w:val="ListBullet"/>
      </w:pPr>
      <w:r>
        <w:rPr>
          <w:rFonts w:ascii="Calibri" w:hAnsi="Calibri"/>
        </w:rPr>
        <w:t>Contrôles de géolocalisation (précision &lt; 5 m, altitude renseignée) ;</w:t>
      </w:r>
    </w:p>
    <w:p>
      <w:pPr>
        <w:pStyle w:val="ListBullet"/>
      </w:pPr>
      <w:r>
        <w:rPr>
          <w:rFonts w:ascii="Calibri" w:hAnsi="Calibri"/>
        </w:rPr>
        <w:t>Standardisation des secteurs (Éducation, Eau potable, Santé, Marché, etc.).</w:t>
      </w:r>
    </w:p>
    <w:p>
      <w:pPr>
        <w:pStyle w:val="Heading2"/>
      </w:pPr>
      <w:r>
        <w:rPr>
          <w:rFonts w:ascii="Calibri" w:hAnsi="Calibri"/>
          <w:color w:val="0B6623"/>
        </w:rPr>
        <w:t>7. Recommandations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Priorité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Enrichir les </w:t>
            </w:r>
            <w:r>
              <w:rPr>
                <w:rFonts w:ascii="Calibri" w:hAnsi="Calibri"/>
                <w:b/>
                <w:sz w:val="18"/>
              </w:rPr>
              <w:t>photos</w:t>
            </w:r>
            <w:r>
              <w:rPr>
                <w:rFonts w:ascii="Calibri" w:hAnsi="Calibri"/>
                <w:sz w:val="18"/>
              </w:rPr>
              <w:t xml:space="preserve"> des infrastructures (import + prise caméra désormais disponibles sur le terrain)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Moyenne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Compléter </w:t>
            </w:r>
            <w:r>
              <w:rPr>
                <w:rFonts w:ascii="Calibri" w:hAnsi="Calibri"/>
                <w:b/>
                <w:sz w:val="18"/>
              </w:rPr>
              <w:t>l'année de réalisation</w:t>
            </w:r>
            <w:r>
              <w:rPr>
                <w:rFonts w:ascii="Calibri" w:hAnsi="Calibri"/>
                <w:sz w:val="18"/>
              </w:rPr>
              <w:t xml:space="preserve"> (56,4 % → ≥ 85 %)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Moyenne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Compléter le </w:t>
            </w:r>
            <w:r>
              <w:rPr>
                <w:rFonts w:ascii="Calibri" w:hAnsi="Calibri"/>
                <w:b/>
                <w:sz w:val="18"/>
              </w:rPr>
              <w:t>bailleur / source de financement</w:t>
            </w:r>
            <w:r>
              <w:rPr>
                <w:rFonts w:ascii="Calibri" w:hAnsi="Calibri"/>
                <w:sz w:val="18"/>
              </w:rPr>
              <w:t xml:space="preserve"> (64,5 % → ≥ 85 %)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Faible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Poursuivre la normalisation des libellés de secteurs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8. Certification</w:t>
      </w:r>
    </w:p>
    <w:p>
      <w:r>
        <w:rPr>
          <w:rFonts w:ascii="Calibri" w:hAnsi="Calibri"/>
        </w:rPr>
        <w:t>La base de données de référence de la plateforme ARMANI est certifiée :</w:t>
      </w:r>
    </w:p>
    <w:p>
      <w:pPr>
        <w:pStyle w:val="ListBullet"/>
      </w:pPr>
      <w:r>
        <w:rPr>
          <w:rFonts w:ascii="Calibri" w:hAnsi="Calibri"/>
          <w:b/>
        </w:rPr>
        <w:t>Complète sur les champs structurants</w:t>
      </w:r>
      <w:r>
        <w:rPr>
          <w:rFonts w:ascii="Calibri" w:hAnsi="Calibri"/>
        </w:rPr>
        <w:t xml:space="preserve"> (commune, arrondissement, village, secteur, état, GPS : 100 %) ;</w:t>
      </w:r>
    </w:p>
    <w:p>
      <w:pPr>
        <w:pStyle w:val="ListBullet"/>
      </w:pPr>
      <w:r>
        <w:rPr>
          <w:rFonts w:ascii="Calibri" w:hAnsi="Calibri"/>
          <w:b/>
        </w:rPr>
        <w:t>Cohérente</w:t>
      </w:r>
      <w:r>
        <w:rPr>
          <w:rFonts w:ascii="Calibri" w:hAnsi="Calibri"/>
        </w:rPr>
        <w:t xml:space="preserve"> et normalisée ;</w:t>
      </w:r>
    </w:p>
    <w:p>
      <w:pPr>
        <w:pStyle w:val="ListBullet"/>
      </w:pPr>
      <w:r>
        <w:rPr>
          <w:rFonts w:ascii="Calibri" w:hAnsi="Calibri"/>
          <w:b/>
        </w:rPr>
        <w:t>Exploitable</w:t>
      </w:r>
      <w:r>
        <w:rPr>
          <w:rFonts w:ascii="Calibri" w:hAnsi="Calibri"/>
        </w:rPr>
        <w:t xml:space="preserve"> pour les analyses, tableaux de bord et exports de planification ;</w:t>
      </w:r>
    </w:p>
    <w:p>
      <w:pPr>
        <w:pStyle w:val="ListBullet"/>
      </w:pPr>
      <w:r>
        <w:rPr>
          <w:rFonts w:ascii="Calibri" w:hAnsi="Calibri"/>
        </w:rPr>
        <w:t xml:space="preserve">Taux de complétude global ≈ </w:t>
      </w:r>
      <w:r>
        <w:rPr>
          <w:rFonts w:ascii="Calibri" w:hAnsi="Calibri"/>
          <w:b/>
        </w:rPr>
        <w:t>80 %</w:t>
      </w:r>
      <w:r>
        <w:rPr>
          <w:rFonts w:ascii="Calibri" w:hAnsi="Calibri"/>
        </w:rPr>
        <w:t xml:space="preserve">, en progression vers l'objectif de </w:t>
      </w:r>
      <w:r>
        <w:rPr>
          <w:rFonts w:ascii="Calibri" w:hAnsi="Calibri"/>
          <w:b/>
        </w:rPr>
        <w:t>85 %</w:t>
      </w:r>
      <w:r>
        <w:rPr>
          <w:rFonts w:ascii="Calibri" w:hAnsi="Calibri"/>
        </w:rPr>
        <w:t xml:space="preserve"> du TDR (amélioration des champs optionnels en cours).</w:t>
      </w:r>
    </w:p>
    <w:p>
      <w:pPr>
        <w:pStyle w:val="Heading2"/>
      </w:pPr>
      <w:r>
        <w:rPr>
          <w:rFonts w:ascii="Calibri" w:hAnsi="Calibri"/>
          <w:color w:val="0B6623"/>
        </w:rPr>
        <w:t>9. Conclusion</w:t>
      </w:r>
    </w:p>
    <w:p>
      <w:r>
        <w:rPr>
          <w:rFonts w:ascii="Calibri" w:hAnsi="Calibri"/>
        </w:rPr>
        <w:t xml:space="preserve">La qualité des données est </w:t>
      </w:r>
      <w:r>
        <w:rPr>
          <w:rFonts w:ascii="Calibri" w:hAnsi="Calibri"/>
          <w:b/>
        </w:rPr>
        <w:t>satisfaisante</w:t>
      </w:r>
      <w:r>
        <w:rPr>
          <w:rFonts w:ascii="Calibri" w:hAnsi="Calibri"/>
        </w:rPr>
        <w:t xml:space="preserve"> sur les champs essentiels à l'exploitation (localisation, secteur, état, GPS). Les efforts doivent se poursuivre sur les champs optionnels (photos, année de réalisation, bailleur). La base est </w:t>
      </w:r>
      <w:r>
        <w:rPr>
          <w:rFonts w:ascii="Calibri" w:hAnsi="Calibri"/>
          <w:b/>
        </w:rPr>
        <w:t>certifiée apte</w:t>
      </w:r>
      <w:r>
        <w:rPr>
          <w:rFonts w:ascii="Calibri" w:hAnsi="Calibri"/>
        </w:rPr>
        <w:t xml:space="preserve"> à alimenter les outils de pilotage et les plans de maintenance.</w:t>
      </w:r>
    </w:p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