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B6623"/>
        </w:rPr>
        <w:t>LIVRABLE L6 — RAPPORT DE CONFORMITÉ AU CODE DU NUMÉRIQUE</w:t>
      </w:r>
    </w:p>
    <w:p>
      <w:pPr>
        <w:pStyle w:val="Heading3"/>
      </w:pPr>
      <w:r>
        <w:rPr>
          <w:rFonts w:ascii="Calibri" w:hAnsi="Calibri"/>
          <w:color w:val="0B6623"/>
        </w:rPr>
        <w:t>Plateforme ARMANI (ex-ADECOB) — Communes du Borgou</w:t>
      </w:r>
    </w:p>
    <w:p>
      <w:r>
        <w:rPr>
          <w:rFonts w:ascii="Calibri" w:hAnsi="Calibri"/>
          <w:b/>
        </w:rPr>
        <w:t>Mission :</w:t>
      </w:r>
      <w:r>
        <w:rPr>
          <w:rFonts w:ascii="Calibri" w:hAnsi="Calibri"/>
        </w:rPr>
        <w:t xml:space="preserve"> Sécurisation, amélioration et opérationnalisation (POA 2026/ADECOB/AGORA1)</w:t>
      </w:r>
    </w:p>
    <w:p>
      <w:r>
        <w:rPr>
          <w:rFonts w:ascii="Calibri" w:hAnsi="Calibri"/>
          <w:b/>
        </w:rPr>
        <w:t>Version :</w:t>
      </w:r>
      <w:r>
        <w:rPr>
          <w:rFonts w:ascii="Calibri" w:hAnsi="Calibri"/>
        </w:rPr>
        <w:t xml:space="preserve"> 1.0 — </w:t>
      </w:r>
      <w:r>
        <w:rPr>
          <w:rFonts w:ascii="Calibri" w:hAnsi="Calibri"/>
          <w:b/>
        </w:rPr>
        <w:t>Date :</w:t>
      </w:r>
      <w:r>
        <w:rPr>
          <w:rFonts w:ascii="Calibri" w:hAnsi="Calibri"/>
        </w:rPr>
        <w:t xml:space="preserve"> 19/08/2026</w:t>
      </w:r>
    </w:p>
    <w:p>
      <w:r>
        <w:rPr>
          <w:rFonts w:ascii="Calibri" w:hAnsi="Calibri"/>
          <w:b/>
        </w:rPr>
        <w:t>Prestataire :</w:t>
      </w:r>
      <w:r>
        <w:rPr>
          <w:rFonts w:ascii="Calibri" w:hAnsi="Calibri"/>
        </w:rPr>
        <w:t xml:space="preserve"> [Nom du prestataire / consultant]</w:t>
      </w:r>
    </w:p>
    <w:p>
      <w:pPr>
        <w:pStyle w:val="Heading2"/>
      </w:pPr>
      <w:r>
        <w:rPr>
          <w:rFonts w:ascii="Calibri" w:hAnsi="Calibri"/>
          <w:color w:val="0B6623"/>
        </w:rPr>
        <w:t>1. Objet</w:t>
      </w:r>
    </w:p>
    <w:p>
      <w:r>
        <w:rPr>
          <w:rFonts w:ascii="Calibri" w:hAnsi="Calibri"/>
        </w:rPr>
        <w:t xml:space="preserve">Évaluer et documenter la conformité de la plateforme ARMANI au </w:t>
      </w:r>
      <w:r>
        <w:rPr>
          <w:rFonts w:ascii="Calibri" w:hAnsi="Calibri"/>
          <w:b/>
        </w:rPr>
        <w:t>cadre réglementaire béninois du numérique</w:t>
      </w:r>
      <w:r>
        <w:rPr>
          <w:rFonts w:ascii="Calibri" w:hAnsi="Calibri"/>
        </w:rPr>
        <w:t>, notamment :</w:t>
      </w:r>
    </w:p>
    <w:p>
      <w:pPr>
        <w:pStyle w:val="ListBullet"/>
      </w:pPr>
      <w:r>
        <w:rPr>
          <w:rFonts w:ascii="Calibri" w:hAnsi="Calibri"/>
        </w:rPr>
        <w:t xml:space="preserve">le </w:t>
      </w:r>
      <w:r>
        <w:rPr>
          <w:rFonts w:ascii="Calibri" w:hAnsi="Calibri"/>
          <w:b/>
        </w:rPr>
        <w:t>Code du numérique en République du Bénin</w:t>
      </w:r>
      <w:r>
        <w:rPr>
          <w:rFonts w:ascii="Calibri" w:hAnsi="Calibri"/>
        </w:rPr>
        <w:t xml:space="preserve"> (loi n°2017-20 du 20 avril 2018) ;</w:t>
      </w:r>
    </w:p>
    <w:p>
      <w:pPr>
        <w:pStyle w:val="ListBullet"/>
      </w:pPr>
      <w:r>
        <w:rPr>
          <w:rFonts w:ascii="Calibri" w:hAnsi="Calibri"/>
        </w:rPr>
        <w:t xml:space="preserve">les exigences de </w:t>
      </w:r>
      <w:r>
        <w:rPr>
          <w:rFonts w:ascii="Calibri" w:hAnsi="Calibri"/>
          <w:b/>
        </w:rPr>
        <w:t>protection des données à caractère personnel</w:t>
      </w:r>
      <w:r>
        <w:rPr>
          <w:rFonts w:ascii="Calibri" w:hAnsi="Calibri"/>
        </w:rPr>
        <w:t xml:space="preserve"> (Autorité de Protection des Données Personnelles – APDP) ;</w:t>
      </w:r>
    </w:p>
    <w:p>
      <w:pPr>
        <w:pStyle w:val="ListBullet"/>
      </w:pPr>
      <w:r>
        <w:rPr>
          <w:rFonts w:ascii="Calibri" w:hAnsi="Calibri"/>
        </w:rPr>
        <w:t>les obligations relatives à la sécurité des systèmes d'information et à l'accessibilité.</w:t>
      </w:r>
    </w:p>
    <w:p>
      <w:r>
        <w:rPr>
          <w:rFonts w:ascii="Calibri" w:hAnsi="Calibri"/>
        </w:rPr>
        <w:t xml:space="preserve">Objectif TDR : score de conformité </w:t>
      </w:r>
      <w:r>
        <w:rPr>
          <w:rFonts w:ascii="Calibri" w:hAnsi="Calibri"/>
          <w:b/>
        </w:rPr>
        <w:t>≥ 80/100</w:t>
      </w:r>
      <w:r>
        <w:rPr>
          <w:rFonts w:ascii="Calibri" w:hAnsi="Calibri"/>
        </w:rPr>
        <w:t xml:space="preserve"> (vs 54/100 à l'audit).</w:t>
      </w:r>
    </w:p>
    <w:p>
      <w:pPr>
        <w:pStyle w:val="Heading2"/>
      </w:pPr>
      <w:r>
        <w:rPr>
          <w:rFonts w:ascii="Calibri" w:hAnsi="Calibri"/>
          <w:color w:val="0B6623"/>
        </w:rPr>
        <w:t>2. Grille d'auto-évaluation (score sur 100)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Axe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Poids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Score obtenu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Commentaire / preuves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1. Protection des données personnelles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Procédures RGPD, politique de confidentialité, données chiffrées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2. Sécurité des systèmes d'information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MFA, reCAPTCHA, RBAC, chiffrement, journaux d'audit, HTTPS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3. Gouvernance du SI &amp; documentation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PSSI, procédures (incidents, comptes, droits), charte informatique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4. Transparence &amp; information des usagers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CGU, mentions légales, politique cookies, politique confidentialité publiées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5. Continuité &amp; résilience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PCA/PRA rédigés, sauvegardes quotidiennes, monitoring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6. Accessibilité &amp; qualité de service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Design responsive, PWA, utilisation mobile (connexion limitée)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7. Traçabilité &amp; journalisation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Système d'audit complet (10 142 entrées)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100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≈ 85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Conforme à l'objectif ≥ 80/100</w:t>
            </w:r>
          </w:p>
        </w:tc>
      </w:tr>
    </w:tbl>
    <w:p/>
    <w:p>
      <w:r>
        <w:rPr>
          <w:rFonts w:ascii="Calibri" w:hAnsi="Calibri"/>
        </w:rPr>
        <w:t>*(Chiffres à consolider lors de la revue finale ; la grille est indicative et peut être ajustée avec le Comité technique.)*</w:t>
      </w:r>
    </w:p>
    <w:p>
      <w:pPr>
        <w:pStyle w:val="Heading2"/>
      </w:pPr>
      <w:r>
        <w:rPr>
          <w:rFonts w:ascii="Calibri" w:hAnsi="Calibri"/>
          <w:color w:val="0B6623"/>
        </w:rPr>
        <w:t>3. Éléments de conformité détaillés</w:t>
      </w:r>
    </w:p>
    <w:p>
      <w:pPr>
        <w:pStyle w:val="Heading3"/>
      </w:pPr>
      <w:r>
        <w:rPr>
          <w:rFonts w:ascii="Calibri" w:hAnsi="Calibri"/>
          <w:color w:val="0B6623"/>
        </w:rPr>
        <w:t>3.1 Protection des données personnelles</w:t>
      </w:r>
    </w:p>
    <w:p>
      <w:pPr>
        <w:pStyle w:val="ListBullet"/>
      </w:pPr>
      <w:r>
        <w:rPr>
          <w:rFonts w:ascii="Calibri" w:hAnsi="Calibri"/>
          <w:b/>
        </w:rPr>
        <w:t>Politique de confidentialité</w:t>
      </w:r>
      <w:r>
        <w:rPr>
          <w:rFonts w:ascii="Calibri" w:hAnsi="Calibri"/>
        </w:rPr>
        <w:t xml:space="preserve"> publiée (</w:t>
      </w:r>
      <w:r>
        <w:rPr>
          <w:rFonts w:ascii="Consolas" w:hAnsi="Consolas"/>
          <w:color w:val="8A1C1C"/>
          <w:sz w:val="18"/>
        </w:rPr>
        <w:t>/politique-confidentialite</w:t>
      </w:r>
      <w:r>
        <w:rPr>
          <w:rFonts w:ascii="Calibri" w:hAnsi="Calibri"/>
        </w:rPr>
        <w:t>) ;</w:t>
      </w:r>
    </w:p>
    <w:p>
      <w:pPr>
        <w:pStyle w:val="ListBullet"/>
      </w:pPr>
      <w:r>
        <w:rPr>
          <w:rFonts w:ascii="Calibri" w:hAnsi="Calibri"/>
          <w:b/>
        </w:rPr>
        <w:t>Procédures RGPD</w:t>
      </w:r>
      <w:r>
        <w:rPr>
          <w:rFonts w:ascii="Calibri" w:hAnsi="Calibri"/>
        </w:rPr>
        <w:t xml:space="preserve"> : droits des personnes (accès, rectification, effacement), registre des traitements, consentement cookies (</w:t>
      </w:r>
      <w:r>
        <w:rPr>
          <w:rFonts w:ascii="Consolas" w:hAnsi="Consolas"/>
          <w:color w:val="8A1C1C"/>
          <w:sz w:val="18"/>
        </w:rPr>
        <w:t>/politique-cookies</w:t>
      </w:r>
      <w:r>
        <w:rPr>
          <w:rFonts w:ascii="Calibri" w:hAnsi="Calibri"/>
        </w:rPr>
        <w:t>) ;</w:t>
      </w:r>
    </w:p>
    <w:p>
      <w:pPr>
        <w:pStyle w:val="ListBullet"/>
      </w:pPr>
      <w:r>
        <w:rPr>
          <w:rFonts w:ascii="Calibri" w:hAnsi="Calibri"/>
          <w:b/>
        </w:rPr>
        <w:t>Chiffrement</w:t>
      </w:r>
      <w:r>
        <w:rPr>
          <w:rFonts w:ascii="Calibri" w:hAnsi="Calibri"/>
        </w:rPr>
        <w:t xml:space="preserve"> des données sensibles (téléphone, etc.) ;</w:t>
      </w:r>
    </w:p>
    <w:p>
      <w:pPr>
        <w:pStyle w:val="ListBullet"/>
      </w:pPr>
      <w:r>
        <w:rPr>
          <w:rFonts w:ascii="Calibri" w:hAnsi="Calibri"/>
        </w:rPr>
        <w:t>Accès restreint et rôles définis.</w:t>
      </w:r>
    </w:p>
    <w:p>
      <w:pPr>
        <w:pStyle w:val="Heading3"/>
      </w:pPr>
      <w:r>
        <w:rPr>
          <w:rFonts w:ascii="Calibri" w:hAnsi="Calibri"/>
          <w:color w:val="0B6623"/>
        </w:rPr>
        <w:t>3.2 Sécurité</w:t>
      </w:r>
    </w:p>
    <w:p>
      <w:pPr>
        <w:pStyle w:val="ListBullet"/>
      </w:pPr>
      <w:r>
        <w:rPr>
          <w:rFonts w:ascii="Calibri" w:hAnsi="Calibri"/>
          <w:b/>
        </w:rPr>
        <w:t>Authentification renforcée (MFA)</w:t>
      </w:r>
      <w:r>
        <w:rPr>
          <w:rFonts w:ascii="Calibri" w:hAnsi="Calibri"/>
        </w:rPr>
        <w:t xml:space="preserve"> sur tous les comptes administrateurs ;</w:t>
      </w:r>
    </w:p>
    <w:p>
      <w:pPr>
        <w:pStyle w:val="ListBullet"/>
      </w:pPr>
      <w:r>
        <w:rPr>
          <w:rFonts w:ascii="Calibri" w:hAnsi="Calibri"/>
          <w:b/>
        </w:rPr>
        <w:t>reCAPTCHA v3</w:t>
      </w:r>
      <w:r>
        <w:rPr>
          <w:rFonts w:ascii="Calibri" w:hAnsi="Calibri"/>
        </w:rPr>
        <w:t xml:space="preserve"> anti-bot ;</w:t>
      </w:r>
    </w:p>
    <w:p>
      <w:pPr>
        <w:pStyle w:val="ListBullet"/>
      </w:pPr>
      <w:r>
        <w:rPr>
          <w:rFonts w:ascii="Calibri" w:hAnsi="Calibri"/>
          <w:b/>
        </w:rPr>
        <w:t>RBAC</w:t>
      </w:r>
      <w:r>
        <w:rPr>
          <w:rFonts w:ascii="Calibri" w:hAnsi="Calibri"/>
        </w:rPr>
        <w:t xml:space="preserve"> (4 rôles) + middlewares ;</w:t>
      </w:r>
    </w:p>
    <w:p>
      <w:pPr>
        <w:pStyle w:val="ListBullet"/>
      </w:pPr>
      <w:r>
        <w:rPr>
          <w:rFonts w:ascii="Calibri" w:hAnsi="Calibri"/>
          <w:b/>
        </w:rPr>
        <w:t>HTTPS</w:t>
      </w:r>
      <w:r>
        <w:rPr>
          <w:rFonts w:ascii="Calibri" w:hAnsi="Calibri"/>
        </w:rPr>
        <w:t xml:space="preserve"> obligatoire, </w:t>
      </w:r>
      <w:r>
        <w:rPr>
          <w:rFonts w:ascii="Calibri" w:hAnsi="Calibri"/>
          <w:b/>
        </w:rPr>
        <w:t>Security Headers</w:t>
      </w:r>
      <w:r>
        <w:rPr>
          <w:rFonts w:ascii="Calibri" w:hAnsi="Calibri"/>
        </w:rPr>
        <w:t>, chiffrement TLS ;</w:t>
      </w:r>
    </w:p>
    <w:p>
      <w:pPr>
        <w:pStyle w:val="ListBullet"/>
      </w:pPr>
      <w:r>
        <w:rPr>
          <w:rFonts w:ascii="Calibri" w:hAnsi="Calibri"/>
          <w:b/>
        </w:rPr>
        <w:t>Journaux d'audit</w:t>
      </w:r>
      <w:r>
        <w:rPr>
          <w:rFonts w:ascii="Calibri" w:hAnsi="Calibri"/>
        </w:rPr>
        <w:t xml:space="preserve"> et </w:t>
      </w:r>
      <w:r>
        <w:rPr>
          <w:rFonts w:ascii="Calibri" w:hAnsi="Calibri"/>
          <w:b/>
        </w:rPr>
        <w:t>protection contre les attaques</w:t>
      </w:r>
      <w:r>
        <w:rPr>
          <w:rFonts w:ascii="Calibri" w:hAnsi="Calibri"/>
        </w:rPr>
        <w:t xml:space="preserve"> (SQLi, XSS, CSRF).</w:t>
      </w:r>
    </w:p>
    <w:p>
      <w:pPr>
        <w:pStyle w:val="Heading3"/>
      </w:pPr>
      <w:r>
        <w:rPr>
          <w:rFonts w:ascii="Calibri" w:hAnsi="Calibri"/>
          <w:color w:val="0B6623"/>
        </w:rPr>
        <w:t>3.3 Gouvernance &amp; documentation</w:t>
      </w:r>
    </w:p>
    <w:p>
      <w:pPr>
        <w:pStyle w:val="ListBullet"/>
      </w:pPr>
      <w:r>
        <w:rPr>
          <w:rFonts w:ascii="Calibri" w:hAnsi="Calibri"/>
          <w:b/>
        </w:rPr>
        <w:t>PSSI</w:t>
      </w:r>
      <w:r>
        <w:rPr>
          <w:rFonts w:ascii="Calibri" w:hAnsi="Calibri"/>
        </w:rPr>
        <w:t xml:space="preserve"> (Politique de Sécurité des Systèmes d'Information) ;</w:t>
      </w:r>
    </w:p>
    <w:p>
      <w:pPr>
        <w:pStyle w:val="ListBullet"/>
      </w:pPr>
      <w:r>
        <w:rPr>
          <w:rFonts w:ascii="Calibri" w:hAnsi="Calibri"/>
          <w:b/>
        </w:rPr>
        <w:t>Procédures</w:t>
      </w:r>
      <w:r>
        <w:rPr>
          <w:rFonts w:ascii="Calibri" w:hAnsi="Calibri"/>
        </w:rPr>
        <w:t xml:space="preserve"> : gestion des incidents, gestion des comptes, droits RGPD ;</w:t>
      </w:r>
    </w:p>
    <w:p>
      <w:pPr>
        <w:pStyle w:val="ListBullet"/>
      </w:pPr>
      <w:r>
        <w:rPr>
          <w:rFonts w:ascii="Calibri" w:hAnsi="Calibri"/>
          <w:b/>
        </w:rPr>
        <w:t>Charte informatique</w:t>
      </w:r>
      <w:r>
        <w:rPr>
          <w:rFonts w:ascii="Calibri" w:hAnsi="Calibri"/>
        </w:rPr>
        <w:t xml:space="preserve"> ;</w:t>
      </w:r>
    </w:p>
    <w:p>
      <w:pPr>
        <w:pStyle w:val="ListBullet"/>
      </w:pPr>
      <w:r>
        <w:rPr>
          <w:rFonts w:ascii="Calibri" w:hAnsi="Calibri"/>
        </w:rPr>
        <w:t>Convention de sous-traitance (hébergement) ;</w:t>
      </w:r>
    </w:p>
    <w:p>
      <w:pPr>
        <w:pStyle w:val="ListBullet"/>
      </w:pPr>
      <w:r>
        <w:rPr>
          <w:rFonts w:ascii="Calibri" w:hAnsi="Calibri"/>
        </w:rPr>
        <w:t>Guides utilisateur et administrateur.</w:t>
      </w:r>
    </w:p>
    <w:p>
      <w:pPr>
        <w:pStyle w:val="Heading3"/>
      </w:pPr>
      <w:r>
        <w:rPr>
          <w:rFonts w:ascii="Calibri" w:hAnsi="Calibri"/>
          <w:color w:val="0B6623"/>
        </w:rPr>
        <w:t>3.4 Transparence</w:t>
      </w:r>
    </w:p>
    <w:p>
      <w:pPr>
        <w:pStyle w:val="ListBullet"/>
      </w:pPr>
      <w:r>
        <w:rPr>
          <w:rFonts w:ascii="Calibri" w:hAnsi="Calibri"/>
          <w:b/>
        </w:rPr>
        <w:t>CGU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mentions légales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politique de confidentialité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politique cookies</w:t>
      </w:r>
      <w:r>
        <w:rPr>
          <w:rFonts w:ascii="Calibri" w:hAnsi="Calibri"/>
        </w:rPr>
        <w:t xml:space="preserve"> publiées sur la plateforme.</w:t>
      </w:r>
    </w:p>
    <w:p>
      <w:pPr>
        <w:pStyle w:val="Heading3"/>
      </w:pPr>
      <w:r>
        <w:rPr>
          <w:rFonts w:ascii="Calibri" w:hAnsi="Calibri"/>
          <w:color w:val="0B6623"/>
        </w:rPr>
        <w:t>3.5 Continuité</w:t>
      </w:r>
    </w:p>
    <w:p>
      <w:pPr>
        <w:pStyle w:val="ListBullet"/>
      </w:pPr>
      <w:r>
        <w:rPr>
          <w:rFonts w:ascii="Calibri" w:hAnsi="Calibri"/>
          <w:b/>
        </w:rPr>
        <w:t>PCA / PRA</w:t>
      </w:r>
      <w:r>
        <w:rPr>
          <w:rFonts w:ascii="Calibri" w:hAnsi="Calibri"/>
        </w:rPr>
        <w:t xml:space="preserve"> rédigés, sauvegardes automatiques quotidiennes, monitoring (voir L7).</w:t>
      </w:r>
    </w:p>
    <w:p>
      <w:pPr>
        <w:pStyle w:val="Heading2"/>
      </w:pPr>
      <w:r>
        <w:rPr>
          <w:rFonts w:ascii="Calibri" w:hAnsi="Calibri"/>
          <w:color w:val="0B6623"/>
        </w:rPr>
        <w:t>4. Actions restantes pour la conformité totale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N°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État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Finaliser et faire valider la </w:t>
            </w:r>
            <w:r>
              <w:rPr>
                <w:rFonts w:ascii="Calibri" w:hAnsi="Calibri"/>
                <w:b/>
                <w:sz w:val="18"/>
              </w:rPr>
              <w:t>PSSI</w:t>
            </w:r>
            <w:r>
              <w:rPr>
                <w:rFonts w:ascii="Calibri" w:hAnsi="Calibri"/>
                <w:sz w:val="18"/>
              </w:rPr>
              <w:t xml:space="preserve"> par la direction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⚠️ À valider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Publier / tenir à jour le </w:t>
            </w:r>
            <w:r>
              <w:rPr>
                <w:rFonts w:ascii="Calibri" w:hAnsi="Calibri"/>
                <w:b/>
                <w:sz w:val="18"/>
              </w:rPr>
              <w:t>registre des traitements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⚠️ À finaliser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Documenter le </w:t>
            </w:r>
            <w:r>
              <w:rPr>
                <w:rFonts w:ascii="Calibri" w:hAnsi="Calibri"/>
                <w:b/>
                <w:sz w:val="18"/>
              </w:rPr>
              <w:t>test de restauration</w:t>
            </w:r>
            <w:r>
              <w:rPr>
                <w:rFonts w:ascii="Calibri" w:hAnsi="Calibri"/>
                <w:sz w:val="18"/>
              </w:rPr>
              <w:t xml:space="preserve"> (PCA/PRA) — cf. L7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⚠️ À faire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Formaliser la </w:t>
            </w:r>
            <w:r>
              <w:rPr>
                <w:rFonts w:ascii="Calibri" w:hAnsi="Calibri"/>
                <w:b/>
                <w:sz w:val="18"/>
              </w:rPr>
              <w:t>nomination du responsable de traitement / délégué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⚠️ À faire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Désigner et former les </w:t>
            </w:r>
            <w:r>
              <w:rPr>
                <w:rFonts w:ascii="Calibri" w:hAnsi="Calibri"/>
                <w:b/>
                <w:sz w:val="18"/>
              </w:rPr>
              <w:t>référents numériques</w:t>
            </w:r>
            <w:r>
              <w:rPr>
                <w:rFonts w:ascii="Calibri" w:hAnsi="Calibri"/>
                <w:sz w:val="18"/>
              </w:rPr>
              <w:t xml:space="preserve"> communaux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⚠️ À faire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5. Conclusion</w:t>
      </w:r>
    </w:p>
    <w:p>
      <w:r>
        <w:rPr>
          <w:rFonts w:ascii="Calibri" w:hAnsi="Calibri"/>
        </w:rPr>
        <w:t xml:space="preserve">La plateforme ARMANI atteint un </w:t>
      </w:r>
      <w:r>
        <w:rPr>
          <w:rFonts w:ascii="Calibri" w:hAnsi="Calibri"/>
          <w:b/>
        </w:rPr>
        <w:t>niveau de conformité estimé ≈ 85/100</w:t>
      </w:r>
      <w:r>
        <w:rPr>
          <w:rFonts w:ascii="Calibri" w:hAnsi="Calibri"/>
        </w:rPr>
        <w:t xml:space="preserve"> au Code du numérique, dépassant l'objectif du TDR (≥ 80/100). Les fondations (sécurité, données, transparence, gouvernance) sont en place ; les dernières actions concernent principalement la formalisation de documents de gouvernance et la validation institutionnelle.</w:t>
      </w:r>
    </w:p>
    <w:p>
      <w:r>
        <w:rPr>
          <w:rFonts w:ascii="Calibri" w:hAnsi="Calibri"/>
        </w:rPr>
        <w:t>*Document à transmettre officiellement et à valider par le Comité technique de suivi.*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