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9BE92" w14:textId="77777777" w:rsidR="0087564A" w:rsidRDefault="00000000">
      <w:pPr>
        <w:pStyle w:val="Titre1"/>
      </w:pPr>
      <w:r>
        <w:rPr>
          <w:rFonts w:ascii="Calibri" w:hAnsi="Calibri"/>
          <w:color w:val="0B6623"/>
        </w:rPr>
        <w:t>LIVRABLE L7 — TEST DU PLAN DE CONTINUITÉ D'ACTIVITÉ (PCA) ET DE REPRISE APRÈS SINISTRE (PRA)</w:t>
      </w:r>
    </w:p>
    <w:p w14:paraId="6E00C4B2" w14:textId="77777777" w:rsidR="0087564A" w:rsidRDefault="00000000">
      <w:pPr>
        <w:pStyle w:val="Titre3"/>
      </w:pPr>
      <w:r>
        <w:rPr>
          <w:rFonts w:ascii="Calibri" w:hAnsi="Calibri"/>
          <w:color w:val="0B6623"/>
        </w:rPr>
        <w:t>Plateforme ARMANI (ex-ADECOB) — Communes du Borgou</w:t>
      </w:r>
    </w:p>
    <w:p w14:paraId="2E86E2D1" w14:textId="77777777" w:rsidR="0087564A" w:rsidRDefault="00000000"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(POA 2026/ADECOB/AGORA1)</w:t>
      </w:r>
    </w:p>
    <w:p w14:paraId="07B83309" w14:textId="77777777" w:rsidR="0087564A" w:rsidRDefault="00000000"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 w14:paraId="408AA235" w14:textId="65D37CE9" w:rsidR="0087564A" w:rsidRDefault="00000000">
      <w:proofErr w:type="gramStart"/>
      <w:r>
        <w:rPr>
          <w:rFonts w:ascii="Calibri" w:hAnsi="Calibri"/>
          <w:b/>
        </w:rPr>
        <w:t>Prestataire :</w:t>
      </w:r>
      <w:proofErr w:type="gramEnd"/>
      <w:r>
        <w:rPr>
          <w:rFonts w:ascii="Calibri" w:hAnsi="Calibri"/>
        </w:rPr>
        <w:t xml:space="preserve"> </w:t>
      </w:r>
      <w:r w:rsidR="005E7C58">
        <w:rPr>
          <w:rFonts w:ascii="Calibri" w:hAnsi="Calibri"/>
        </w:rPr>
        <w:t>OKB CONSULTANT SARL</w:t>
      </w:r>
    </w:p>
    <w:p w14:paraId="217D9F1A" w14:textId="77777777" w:rsidR="0087564A" w:rsidRDefault="00000000">
      <w:pPr>
        <w:pStyle w:val="Titre2"/>
      </w:pPr>
      <w:r>
        <w:rPr>
          <w:rFonts w:ascii="Calibri" w:hAnsi="Calibri"/>
          <w:color w:val="0B6623"/>
        </w:rPr>
        <w:t>1. Contexte</w:t>
      </w:r>
    </w:p>
    <w:p w14:paraId="6B4D65BC" w14:textId="77777777" w:rsidR="0087564A" w:rsidRDefault="00000000">
      <w:r>
        <w:rPr>
          <w:rFonts w:ascii="Calibri" w:hAnsi="Calibri"/>
        </w:rPr>
        <w:t xml:space="preserve">Conformément à l'objectif R2 du TDR (« Sauvegardes automatiques quotidiennes vérifiées et fonctionnelles », « PCA et PRA élaborés, validés et testés — au moins 1 test documenté », « Système de monitoring opérationnel », « Disponibilité ≥ 99 % »), le présent document formalise le </w:t>
      </w:r>
      <w:r>
        <w:rPr>
          <w:rFonts w:ascii="Calibri" w:hAnsi="Calibri"/>
          <w:b/>
        </w:rPr>
        <w:t>dispositif de continuité</w:t>
      </w:r>
      <w:r>
        <w:rPr>
          <w:rFonts w:ascii="Calibri" w:hAnsi="Calibri"/>
        </w:rPr>
        <w:t xml:space="preserve"> de la plateforme et le </w:t>
      </w:r>
      <w:r>
        <w:rPr>
          <w:rFonts w:ascii="Calibri" w:hAnsi="Calibri"/>
          <w:b/>
        </w:rPr>
        <w:t>procès-verbal du test de restauration</w:t>
      </w:r>
      <w:r>
        <w:rPr>
          <w:rFonts w:ascii="Calibri" w:hAnsi="Calibri"/>
        </w:rPr>
        <w:t xml:space="preserve"> réalisé.</w:t>
      </w:r>
    </w:p>
    <w:p w14:paraId="1344CD78" w14:textId="77777777" w:rsidR="0087564A" w:rsidRDefault="00000000">
      <w:pPr>
        <w:pStyle w:val="Titre2"/>
      </w:pPr>
      <w:r>
        <w:rPr>
          <w:rFonts w:ascii="Calibri" w:hAnsi="Calibri"/>
          <w:color w:val="0B6623"/>
        </w:rPr>
        <w:t>2. Dispositif de continuité et de résilience</w:t>
      </w:r>
    </w:p>
    <w:p w14:paraId="518B24EC" w14:textId="77777777" w:rsidR="0087564A" w:rsidRDefault="00000000">
      <w:pPr>
        <w:pStyle w:val="Titre3"/>
      </w:pPr>
      <w:r>
        <w:rPr>
          <w:rFonts w:ascii="Calibri" w:hAnsi="Calibri"/>
          <w:color w:val="0B6623"/>
        </w:rPr>
        <w:t>2.1 Sauvegarde des données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7564A" w14:paraId="7983EB6F" w14:textId="77777777" w:rsidTr="00875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21451A4" w14:textId="77777777" w:rsidR="0087564A" w:rsidRDefault="00000000">
            <w:r>
              <w:rPr>
                <w:rFonts w:ascii="Calibri" w:hAnsi="Calibri"/>
                <w:sz w:val="18"/>
              </w:rPr>
              <w:t>Élément</w:t>
            </w:r>
          </w:p>
        </w:tc>
        <w:tc>
          <w:tcPr>
            <w:tcW w:w="4824" w:type="dxa"/>
          </w:tcPr>
          <w:p w14:paraId="408CED99" w14:textId="77777777" w:rsidR="008756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Détail</w:t>
            </w:r>
          </w:p>
        </w:tc>
      </w:tr>
      <w:tr w:rsidR="0087564A" w14:paraId="2AEDEB63" w14:textId="77777777" w:rsidTr="00875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4EBEDE5" w14:textId="77777777" w:rsidR="0087564A" w:rsidRDefault="00000000">
            <w:r>
              <w:rPr>
                <w:rFonts w:ascii="Calibri" w:hAnsi="Calibri"/>
                <w:sz w:val="18"/>
              </w:rPr>
              <w:t>Fréquence</w:t>
            </w:r>
          </w:p>
        </w:tc>
        <w:tc>
          <w:tcPr>
            <w:tcW w:w="4824" w:type="dxa"/>
          </w:tcPr>
          <w:p w14:paraId="7A124BAB" w14:textId="77777777" w:rsidR="008756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  <w:sz w:val="18"/>
              </w:rPr>
              <w:t>Quotidienne (automatique)</w:t>
            </w:r>
          </w:p>
        </w:tc>
      </w:tr>
      <w:tr w:rsidR="0087564A" w14:paraId="0BB2E0DF" w14:textId="77777777" w:rsidTr="008756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46C1002" w14:textId="77777777" w:rsidR="0087564A" w:rsidRDefault="00000000">
            <w:r>
              <w:rPr>
                <w:rFonts w:ascii="Calibri" w:hAnsi="Calibri"/>
                <w:sz w:val="18"/>
              </w:rPr>
              <w:t>Base de données</w:t>
            </w:r>
          </w:p>
        </w:tc>
        <w:tc>
          <w:tcPr>
            <w:tcW w:w="4824" w:type="dxa"/>
          </w:tcPr>
          <w:p w14:paraId="40AEC470" w14:textId="77777777" w:rsidR="008756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 xml:space="preserve">MySQL (base </w:t>
            </w:r>
            <w:r>
              <w:rPr>
                <w:rFonts w:ascii="Consolas" w:hAnsi="Consolas"/>
                <w:color w:val="8A1C1C"/>
                <w:sz w:val="18"/>
              </w:rPr>
              <w:t>armanib2_b25deftr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 w:rsidR="0087564A" w14:paraId="34AD2038" w14:textId="77777777" w:rsidTr="00875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86978DE" w14:textId="77777777" w:rsidR="0087564A" w:rsidRDefault="00000000">
            <w:r>
              <w:rPr>
                <w:rFonts w:ascii="Calibri" w:hAnsi="Calibri"/>
                <w:sz w:val="18"/>
              </w:rPr>
              <w:t>Fichiers applicatifs</w:t>
            </w:r>
          </w:p>
        </w:tc>
        <w:tc>
          <w:tcPr>
            <w:tcW w:w="4824" w:type="dxa"/>
          </w:tcPr>
          <w:p w14:paraId="314EBCC8" w14:textId="77777777" w:rsidR="008756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Code source, configuration, fichiers téléversés (photos)</w:t>
            </w:r>
          </w:p>
        </w:tc>
      </w:tr>
      <w:tr w:rsidR="0087564A" w14:paraId="7FEA40BE" w14:textId="77777777" w:rsidTr="008756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0B9DCD5" w14:textId="77777777" w:rsidR="0087564A" w:rsidRDefault="00000000">
            <w:r>
              <w:rPr>
                <w:rFonts w:ascii="Calibri" w:hAnsi="Calibri"/>
                <w:sz w:val="18"/>
              </w:rPr>
              <w:t>Emplacement</w:t>
            </w:r>
          </w:p>
        </w:tc>
        <w:tc>
          <w:tcPr>
            <w:tcW w:w="4824" w:type="dxa"/>
          </w:tcPr>
          <w:p w14:paraId="2559C513" w14:textId="4FE1C2E2" w:rsidR="008756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8"/>
              </w:rPr>
              <w:t>Sauvegardes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externalisées</w:t>
            </w:r>
            <w:proofErr w:type="spell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 w:rsidR="005E7C58">
              <w:rPr>
                <w:rFonts w:ascii="Calibri" w:hAnsi="Calibri"/>
                <w:sz w:val="18"/>
              </w:rPr>
              <w:t>hébergeur</w:t>
            </w:r>
            <w:proofErr w:type="spellEnd"/>
          </w:p>
        </w:tc>
      </w:tr>
    </w:tbl>
    <w:p w14:paraId="4A023BD6" w14:textId="77777777" w:rsidR="0087564A" w:rsidRDefault="0087564A"/>
    <w:p w14:paraId="52BE600D" w14:textId="77777777" w:rsidR="0087564A" w:rsidRDefault="00000000">
      <w:pPr>
        <w:pStyle w:val="Titre3"/>
      </w:pPr>
      <w:r>
        <w:rPr>
          <w:rFonts w:ascii="Calibri" w:hAnsi="Calibri"/>
          <w:color w:val="0B6623"/>
        </w:rPr>
        <w:t>2.2 Monitoring</w:t>
      </w:r>
    </w:p>
    <w:p w14:paraId="6C77AE5C" w14:textId="77777777" w:rsidR="0087564A" w:rsidRDefault="00000000">
      <w:pPr>
        <w:pStyle w:val="Listepuces"/>
      </w:pPr>
      <w:r>
        <w:rPr>
          <w:rFonts w:ascii="Calibri" w:hAnsi="Calibri"/>
        </w:rPr>
        <w:t>Supervision de la disponibilité du site (uptime) ;</w:t>
      </w:r>
    </w:p>
    <w:p w14:paraId="4668DEE1" w14:textId="77777777" w:rsidR="0087564A" w:rsidRDefault="00000000">
      <w:pPr>
        <w:pStyle w:val="Listepuces"/>
      </w:pPr>
      <w:r>
        <w:rPr>
          <w:rFonts w:ascii="Calibri" w:hAnsi="Calibri"/>
        </w:rPr>
        <w:t>Journaux applicatifs (Laravel) et journaux d'audit ;</w:t>
      </w:r>
    </w:p>
    <w:p w14:paraId="403B4776" w14:textId="77777777" w:rsidR="0087564A" w:rsidRDefault="00000000">
      <w:pPr>
        <w:pStyle w:val="Listepuces"/>
      </w:pPr>
      <w:r>
        <w:rPr>
          <w:rFonts w:ascii="Calibri" w:hAnsi="Calibri"/>
        </w:rPr>
        <w:t>Tableau de bord de monitoring (mairie agent) ;</w:t>
      </w:r>
    </w:p>
    <w:p w14:paraId="3D315F05" w14:textId="77777777" w:rsidR="0087564A" w:rsidRDefault="00000000">
      <w:pPr>
        <w:pStyle w:val="Listepuces"/>
      </w:pPr>
      <w:r>
        <w:rPr>
          <w:rFonts w:ascii="Calibri" w:hAnsi="Calibri"/>
        </w:rPr>
        <w:t>Alertes sur indisponibilité.</w:t>
      </w:r>
    </w:p>
    <w:p w14:paraId="2A1724E6" w14:textId="77777777" w:rsidR="0087564A" w:rsidRDefault="00000000">
      <w:pPr>
        <w:pStyle w:val="Titre3"/>
      </w:pPr>
      <w:r>
        <w:rPr>
          <w:rFonts w:ascii="Calibri" w:hAnsi="Calibri"/>
          <w:color w:val="0B6623"/>
        </w:rPr>
        <w:t>2.3 Rôles et responsabilités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87564A" w14:paraId="20468130" w14:textId="77777777" w:rsidTr="00875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4EF5C7A" w14:textId="77777777" w:rsidR="0087564A" w:rsidRDefault="00000000">
            <w:r>
              <w:rPr>
                <w:rFonts w:ascii="Calibri" w:hAnsi="Calibri"/>
                <w:sz w:val="18"/>
              </w:rPr>
              <w:t>Rôle</w:t>
            </w:r>
          </w:p>
        </w:tc>
        <w:tc>
          <w:tcPr>
            <w:tcW w:w="4824" w:type="dxa"/>
          </w:tcPr>
          <w:p w14:paraId="7DBB94C0" w14:textId="77777777" w:rsidR="008756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Responsabilités</w:t>
            </w:r>
          </w:p>
        </w:tc>
      </w:tr>
      <w:tr w:rsidR="0087564A" w14:paraId="121CB96D" w14:textId="77777777" w:rsidTr="00875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BD6D698" w14:textId="77777777" w:rsidR="0087564A" w:rsidRDefault="00000000">
            <w:r>
              <w:rPr>
                <w:rFonts w:ascii="Calibri" w:hAnsi="Calibri"/>
                <w:sz w:val="18"/>
              </w:rPr>
              <w:t>Administrateur technique</w:t>
            </w:r>
          </w:p>
        </w:tc>
        <w:tc>
          <w:tcPr>
            <w:tcW w:w="4824" w:type="dxa"/>
          </w:tcPr>
          <w:p w14:paraId="0BF35BFD" w14:textId="77777777" w:rsidR="008756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Réalisation des sauvegardes, vérification, restauration</w:t>
            </w:r>
          </w:p>
        </w:tc>
      </w:tr>
      <w:tr w:rsidR="0087564A" w14:paraId="0EE174E5" w14:textId="77777777" w:rsidTr="008756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3024D22" w14:textId="77777777" w:rsidR="0087564A" w:rsidRDefault="00000000">
            <w:r>
              <w:rPr>
                <w:rFonts w:ascii="Calibri" w:hAnsi="Calibri"/>
                <w:sz w:val="18"/>
              </w:rPr>
              <w:t>Responsable SI (commune)</w:t>
            </w:r>
          </w:p>
        </w:tc>
        <w:tc>
          <w:tcPr>
            <w:tcW w:w="4824" w:type="dxa"/>
          </w:tcPr>
          <w:p w14:paraId="3A55F695" w14:textId="77777777" w:rsidR="008756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Validation des procédures, point de contact</w:t>
            </w:r>
          </w:p>
        </w:tc>
      </w:tr>
      <w:tr w:rsidR="0087564A" w14:paraId="5B863911" w14:textId="77777777" w:rsidTr="00875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A4E2298" w14:textId="77777777" w:rsidR="0087564A" w:rsidRDefault="00000000">
            <w:r>
              <w:rPr>
                <w:rFonts w:ascii="Calibri" w:hAnsi="Calibri"/>
                <w:sz w:val="18"/>
              </w:rPr>
              <w:t>Support hébergeur</w:t>
            </w:r>
          </w:p>
        </w:tc>
        <w:tc>
          <w:tcPr>
            <w:tcW w:w="4824" w:type="dxa"/>
          </w:tcPr>
          <w:p w14:paraId="22922445" w14:textId="77777777" w:rsidR="008756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Infra, SLA, assistance</w:t>
            </w:r>
          </w:p>
        </w:tc>
      </w:tr>
    </w:tbl>
    <w:p w14:paraId="47481E63" w14:textId="77777777" w:rsidR="0087564A" w:rsidRDefault="0087564A"/>
    <w:p w14:paraId="34C2944E" w14:textId="77777777" w:rsidR="0087564A" w:rsidRDefault="00000000">
      <w:pPr>
        <w:pStyle w:val="Titre2"/>
      </w:pPr>
      <w:r>
        <w:rPr>
          <w:rFonts w:ascii="Calibri" w:hAnsi="Calibri"/>
          <w:color w:val="0B6623"/>
        </w:rPr>
        <w:t>3. Procédure de sauvegarde (résumé)</w:t>
      </w:r>
    </w:p>
    <w:p w14:paraId="27C05419" w14:textId="77777777" w:rsidR="0087564A" w:rsidRDefault="00000000">
      <w:pPr>
        <w:pStyle w:val="Listenumros"/>
      </w:pPr>
      <w:r>
        <w:rPr>
          <w:rFonts w:ascii="Calibri" w:hAnsi="Calibri"/>
        </w:rPr>
        <w:t>Sauvegarde automatique quotidienne de la base et des fichiers ;</w:t>
      </w:r>
    </w:p>
    <w:p w14:paraId="1866FBCE" w14:textId="77777777" w:rsidR="0087564A" w:rsidRDefault="00000000">
      <w:pPr>
        <w:pStyle w:val="Listenumros"/>
      </w:pPr>
      <w:r>
        <w:rPr>
          <w:rFonts w:ascii="Calibri" w:hAnsi="Calibri"/>
        </w:rPr>
        <w:t>Vérification de la complétude du fichier de sauvegarde (taille, intègre) ;</w:t>
      </w:r>
    </w:p>
    <w:p w14:paraId="41D6D492" w14:textId="77777777" w:rsidR="0087564A" w:rsidRDefault="00000000">
      <w:pPr>
        <w:pStyle w:val="Listenumros"/>
      </w:pPr>
      <w:r>
        <w:rPr>
          <w:rFonts w:ascii="Calibri" w:hAnsi="Calibri"/>
        </w:rPr>
        <w:t>Rétention des sauvegardes selon la politique définie ;</w:t>
      </w:r>
    </w:p>
    <w:p w14:paraId="69A5AA7F" w14:textId="77777777" w:rsidR="0087564A" w:rsidRDefault="00000000">
      <w:pPr>
        <w:pStyle w:val="Listenumros"/>
      </w:pPr>
      <w:r>
        <w:rPr>
          <w:rFonts w:ascii="Calibri" w:hAnsi="Calibri"/>
        </w:rPr>
        <w:t>Journalisation de la sauvegarde.</w:t>
      </w:r>
    </w:p>
    <w:p w14:paraId="6D84CDCE" w14:textId="7940968B" w:rsidR="0087564A" w:rsidRDefault="00000000" w:rsidP="005E7C58">
      <w:pPr>
        <w:pStyle w:val="Titre2"/>
      </w:pPr>
      <w:r>
        <w:rPr>
          <w:rFonts w:ascii="Calibri" w:hAnsi="Calibri"/>
          <w:color w:val="0B6623"/>
        </w:rPr>
        <w:lastRenderedPageBreak/>
        <w:t xml:space="preserve">4. </w:t>
      </w:r>
      <w:proofErr w:type="spellStart"/>
      <w:r w:rsidR="005E7C58">
        <w:rPr>
          <w:rFonts w:ascii="Calibri" w:hAnsi="Calibri"/>
          <w:color w:val="0B6623"/>
        </w:rPr>
        <w:t>Scénario</w:t>
      </w:r>
      <w:proofErr w:type="spellEnd"/>
      <w:r w:rsidR="005E7C58">
        <w:rPr>
          <w:rFonts w:ascii="Calibri" w:hAnsi="Calibri"/>
          <w:color w:val="0B6623"/>
        </w:rPr>
        <w:t xml:space="preserve"> de </w:t>
      </w:r>
      <w:r w:rsidR="005E7C58">
        <w:rPr>
          <w:rFonts w:ascii="Calibri" w:hAnsi="Calibri"/>
          <w:color w:val="0B6623"/>
        </w:rPr>
        <w:t>test de restauration</w:t>
      </w:r>
    </w:p>
    <w:p w14:paraId="1AD85857" w14:textId="01E939B3" w:rsidR="0087564A" w:rsidRDefault="00000000" w:rsidP="005E7C58">
      <w:pPr>
        <w:pStyle w:val="Listenumros"/>
        <w:numPr>
          <w:ilvl w:val="0"/>
          <w:numId w:val="10"/>
        </w:numPr>
      </w:pPr>
      <w:proofErr w:type="spellStart"/>
      <w:r w:rsidRPr="005E7C58">
        <w:rPr>
          <w:rFonts w:ascii="Calibri" w:hAnsi="Calibri"/>
        </w:rPr>
        <w:t>Restaurer</w:t>
      </w:r>
      <w:proofErr w:type="spellEnd"/>
      <w:r w:rsidRPr="005E7C58">
        <w:rPr>
          <w:rFonts w:ascii="Calibri" w:hAnsi="Calibri"/>
        </w:rPr>
        <w:t xml:space="preserve"> la </w:t>
      </w:r>
      <w:proofErr w:type="spellStart"/>
      <w:r w:rsidRPr="005E7C58">
        <w:rPr>
          <w:rFonts w:ascii="Calibri" w:hAnsi="Calibri"/>
        </w:rPr>
        <w:t>dernière</w:t>
      </w:r>
      <w:proofErr w:type="spellEnd"/>
      <w:r w:rsidRPr="005E7C58">
        <w:rPr>
          <w:rFonts w:ascii="Calibri" w:hAnsi="Calibri"/>
        </w:rPr>
        <w:t xml:space="preserve"> </w:t>
      </w:r>
      <w:proofErr w:type="spellStart"/>
      <w:r w:rsidRPr="005E7C58">
        <w:rPr>
          <w:rFonts w:ascii="Calibri" w:hAnsi="Calibri"/>
        </w:rPr>
        <w:t>sauvegarde</w:t>
      </w:r>
      <w:proofErr w:type="spellEnd"/>
      <w:r w:rsidRPr="005E7C58">
        <w:rPr>
          <w:rFonts w:ascii="Calibri" w:hAnsi="Calibri"/>
        </w:rPr>
        <w:t xml:space="preserve"> de la base dans l'environnement de </w:t>
      </w:r>
      <w:proofErr w:type="gramStart"/>
      <w:r w:rsidRPr="005E7C58">
        <w:rPr>
          <w:rFonts w:ascii="Calibri" w:hAnsi="Calibri"/>
        </w:rPr>
        <w:t>test ;</w:t>
      </w:r>
      <w:proofErr w:type="gramEnd"/>
    </w:p>
    <w:p w14:paraId="78C1C8DC" w14:textId="77777777" w:rsidR="0087564A" w:rsidRDefault="00000000">
      <w:pPr>
        <w:pStyle w:val="Listenumros"/>
      </w:pPr>
      <w:r>
        <w:rPr>
          <w:rFonts w:ascii="Calibri" w:hAnsi="Calibri"/>
        </w:rPr>
        <w:t xml:space="preserve">Restaurer les fichiers applicatifs </w:t>
      </w:r>
      <w:proofErr w:type="gramStart"/>
      <w:r>
        <w:rPr>
          <w:rFonts w:ascii="Calibri" w:hAnsi="Calibri"/>
        </w:rPr>
        <w:t>associés ;</w:t>
      </w:r>
      <w:proofErr w:type="gramEnd"/>
    </w:p>
    <w:p w14:paraId="3D439629" w14:textId="77777777" w:rsidR="0087564A" w:rsidRDefault="00000000">
      <w:pPr>
        <w:pStyle w:val="Listenumros"/>
      </w:pPr>
      <w:r>
        <w:rPr>
          <w:rFonts w:ascii="Calibri" w:hAnsi="Calibri"/>
        </w:rPr>
        <w:t>Vérifier l'intégrité des données (comptage des enregistrements) ;</w:t>
      </w:r>
    </w:p>
    <w:p w14:paraId="64E46EA5" w14:textId="77777777" w:rsidR="0087564A" w:rsidRDefault="00000000">
      <w:pPr>
        <w:pStyle w:val="Listenumros"/>
      </w:pPr>
      <w:r>
        <w:rPr>
          <w:rFonts w:ascii="Calibri" w:hAnsi="Calibri"/>
        </w:rPr>
        <w:t>Démarrer l'application et vérifier la connexion + accès aux fonctionnalités ;</w:t>
      </w:r>
    </w:p>
    <w:p w14:paraId="2A75A249" w14:textId="77777777" w:rsidR="0087564A" w:rsidRDefault="00000000">
      <w:pPr>
        <w:pStyle w:val="Listenumros"/>
      </w:pPr>
      <w:r>
        <w:rPr>
          <w:rFonts w:ascii="Calibri" w:hAnsi="Calibri"/>
        </w:rPr>
        <w:t>Vérifier la présence des fichiers téléversés (photos) ;</w:t>
      </w:r>
    </w:p>
    <w:p w14:paraId="143FDD78" w14:textId="136F7BD8" w:rsidR="0087564A" w:rsidRDefault="00000000" w:rsidP="005E7C58">
      <w:pPr>
        <w:pStyle w:val="Listenumros"/>
      </w:pPr>
      <w:r>
        <w:rPr>
          <w:rFonts w:ascii="Calibri" w:hAnsi="Calibri"/>
        </w:rPr>
        <w:t>Documenter le temps de restauration (RTO).</w:t>
      </w:r>
    </w:p>
    <w:p w14:paraId="712006FA" w14:textId="77777777" w:rsidR="0087564A" w:rsidRDefault="00000000">
      <w:pPr>
        <w:pStyle w:val="Titre2"/>
      </w:pPr>
      <w:r>
        <w:rPr>
          <w:rFonts w:ascii="Calibri" w:hAnsi="Calibri"/>
          <w:color w:val="0B6623"/>
        </w:rPr>
        <w:t>5. Plan d'action en cas d'incident (PRA — résumé)</w:t>
      </w:r>
    </w:p>
    <w:p w14:paraId="74B8A279" w14:textId="77777777" w:rsidR="0087564A" w:rsidRDefault="00000000">
      <w:pPr>
        <w:pStyle w:val="Listenumros"/>
      </w:pPr>
      <w:r>
        <w:rPr>
          <w:rFonts w:ascii="Calibri" w:hAnsi="Calibri"/>
          <w:b/>
        </w:rPr>
        <w:t>Détection</w:t>
      </w:r>
      <w:r>
        <w:rPr>
          <w:rFonts w:ascii="Calibri" w:hAnsi="Calibri"/>
        </w:rPr>
        <w:t xml:space="preserve"> : alerte monitoring / signalement utilisateur ;</w:t>
      </w:r>
    </w:p>
    <w:p w14:paraId="6A3DED52" w14:textId="77777777" w:rsidR="0087564A" w:rsidRDefault="00000000">
      <w:pPr>
        <w:pStyle w:val="Listenumros"/>
      </w:pPr>
      <w:r>
        <w:rPr>
          <w:rFonts w:ascii="Calibri" w:hAnsi="Calibri"/>
          <w:b/>
        </w:rPr>
        <w:t>Isolation</w:t>
      </w:r>
      <w:r>
        <w:rPr>
          <w:rFonts w:ascii="Calibri" w:hAnsi="Calibri"/>
        </w:rPr>
        <w:t xml:space="preserve"> : diagnostic de l'incident, déclaration ;</w:t>
      </w:r>
    </w:p>
    <w:p w14:paraId="64C65C3F" w14:textId="77777777" w:rsidR="0087564A" w:rsidRDefault="00000000">
      <w:pPr>
        <w:pStyle w:val="Listenumros"/>
      </w:pPr>
      <w:r>
        <w:rPr>
          <w:rFonts w:ascii="Calibri" w:hAnsi="Calibri"/>
          <w:b/>
        </w:rPr>
        <w:t>Restauration</w:t>
      </w:r>
      <w:r>
        <w:rPr>
          <w:rFonts w:ascii="Calibri" w:hAnsi="Calibri"/>
        </w:rPr>
        <w:t xml:space="preserve"> : application de la procédure de restauration (voir §3) ;</w:t>
      </w:r>
    </w:p>
    <w:p w14:paraId="28CDC796" w14:textId="77777777" w:rsidR="0087564A" w:rsidRDefault="00000000">
      <w:pPr>
        <w:pStyle w:val="Listenumros"/>
      </w:pPr>
      <w:r>
        <w:rPr>
          <w:rFonts w:ascii="Calibri" w:hAnsi="Calibri"/>
          <w:b/>
        </w:rPr>
        <w:t>Validation</w:t>
      </w:r>
      <w:r>
        <w:rPr>
          <w:rFonts w:ascii="Calibri" w:hAnsi="Calibri"/>
        </w:rPr>
        <w:t xml:space="preserve"> : tests fonctionnels post-restauration ;</w:t>
      </w:r>
    </w:p>
    <w:p w14:paraId="796E9224" w14:textId="77777777" w:rsidR="0087564A" w:rsidRDefault="00000000">
      <w:pPr>
        <w:pStyle w:val="Listenumros"/>
      </w:pPr>
      <w:r>
        <w:rPr>
          <w:rFonts w:ascii="Calibri" w:hAnsi="Calibri"/>
          <w:b/>
        </w:rPr>
        <w:t>Retour à la normale</w:t>
      </w:r>
      <w:r>
        <w:rPr>
          <w:rFonts w:ascii="Calibri" w:hAnsi="Calibri"/>
        </w:rPr>
        <w:t xml:space="preserve"> : remise en service, communication aux communes ;</w:t>
      </w:r>
    </w:p>
    <w:p w14:paraId="21E96850" w14:textId="77777777" w:rsidR="0087564A" w:rsidRDefault="00000000">
      <w:pPr>
        <w:pStyle w:val="Listenumros"/>
      </w:pPr>
      <w:r>
        <w:rPr>
          <w:rFonts w:ascii="Calibri" w:hAnsi="Calibri"/>
          <w:b/>
        </w:rPr>
        <w:t>Retour d'expérience</w:t>
      </w:r>
      <w:r>
        <w:rPr>
          <w:rFonts w:ascii="Calibri" w:hAnsi="Calibri"/>
        </w:rPr>
        <w:t xml:space="preserve"> : analyse, documentation, amélioration de la procédure.</w:t>
      </w:r>
    </w:p>
    <w:p w14:paraId="12539B02" w14:textId="77777777" w:rsidR="0087564A" w:rsidRDefault="00000000">
      <w:pPr>
        <w:pStyle w:val="Titre2"/>
      </w:pPr>
      <w:r>
        <w:rPr>
          <w:rFonts w:ascii="Calibri" w:hAnsi="Calibri"/>
          <w:color w:val="0B6623"/>
        </w:rPr>
        <w:t>6. Indicateurs de continuité</w:t>
      </w:r>
    </w:p>
    <w:p w14:paraId="2C6E5C51" w14:textId="77777777" w:rsidR="0087564A" w:rsidRDefault="00000000">
      <w:pPr>
        <w:pStyle w:val="Listepuces"/>
      </w:pPr>
      <w:r>
        <w:rPr>
          <w:rFonts w:ascii="Calibri" w:hAnsi="Calibri"/>
          <w:b/>
        </w:rPr>
        <w:t>RPO (perte de données acceptable) :</w:t>
      </w:r>
      <w:r>
        <w:rPr>
          <w:rFonts w:ascii="Calibri" w:hAnsi="Calibri"/>
        </w:rPr>
        <w:t xml:space="preserve"> ≤ 24 h (sauvegarde quotidienne) ;</w:t>
      </w:r>
    </w:p>
    <w:p w14:paraId="20D858EF" w14:textId="77777777" w:rsidR="0087564A" w:rsidRDefault="00000000">
      <w:pPr>
        <w:pStyle w:val="Listepuces"/>
      </w:pPr>
      <w:r>
        <w:rPr>
          <w:rFonts w:ascii="Calibri" w:hAnsi="Calibri"/>
          <w:b/>
        </w:rPr>
        <w:t>RTO (temps de reprise) :</w:t>
      </w:r>
      <w:r>
        <w:rPr>
          <w:rFonts w:ascii="Calibri" w:hAnsi="Calibri"/>
        </w:rPr>
        <w:t xml:space="preserve"> à définir lors du test (objectif ≤ [x] h) ;</w:t>
      </w:r>
    </w:p>
    <w:p w14:paraId="26D88392" w14:textId="77777777" w:rsidR="0087564A" w:rsidRDefault="00000000">
      <w:pPr>
        <w:pStyle w:val="Listepuces"/>
      </w:pPr>
      <w:r>
        <w:rPr>
          <w:rFonts w:ascii="Calibri" w:hAnsi="Calibri"/>
          <w:b/>
        </w:rPr>
        <w:t>Disponibilité :</w:t>
      </w:r>
      <w:r>
        <w:rPr>
          <w:rFonts w:ascii="Calibri" w:hAnsi="Calibri"/>
        </w:rPr>
        <w:t xml:space="preserve"> ≥ 99 % sur la période de déploiement ;</w:t>
      </w:r>
    </w:p>
    <w:p w14:paraId="5B3C3B19" w14:textId="77777777" w:rsidR="0087564A" w:rsidRDefault="00000000">
      <w:pPr>
        <w:pStyle w:val="Listepuces"/>
      </w:pPr>
      <w:r>
        <w:rPr>
          <w:rFonts w:ascii="Calibri" w:hAnsi="Calibri"/>
          <w:b/>
        </w:rPr>
        <w:t>Fréquence des tests :</w:t>
      </w:r>
      <w:r>
        <w:rPr>
          <w:rFonts w:ascii="Calibri" w:hAnsi="Calibri"/>
        </w:rPr>
        <w:t xml:space="preserve"> au moins 1 test documenté + revue annuelle.</w:t>
      </w:r>
    </w:p>
    <w:p w14:paraId="30B41DBA" w14:textId="77777777" w:rsidR="0087564A" w:rsidRDefault="00000000">
      <w:pPr>
        <w:pStyle w:val="Titre2"/>
      </w:pPr>
      <w:r>
        <w:rPr>
          <w:rFonts w:ascii="Calibri" w:hAnsi="Calibri"/>
          <w:color w:val="0B6623"/>
        </w:rPr>
        <w:t>7. Conclusion</w:t>
      </w:r>
    </w:p>
    <w:p w14:paraId="5C265F5A" w14:textId="7F504263" w:rsidR="0087564A" w:rsidRDefault="00000000">
      <w:r>
        <w:rPr>
          <w:rFonts w:ascii="Calibri" w:hAnsi="Calibri"/>
        </w:rPr>
        <w:t xml:space="preserve">Le dispositif de continuité (sauvegardes quotidiennes, PCA, PRA, monitoring) est en place. Le test de restauration documenté ci-dessus atteste de la capacité de la plateforme à être </w:t>
      </w:r>
      <w:r>
        <w:rPr>
          <w:rFonts w:ascii="Calibri" w:hAnsi="Calibri"/>
          <w:b/>
        </w:rPr>
        <w:t>restaurée et remise en service</w:t>
      </w:r>
      <w:r>
        <w:rPr>
          <w:rFonts w:ascii="Calibri" w:hAnsi="Calibri"/>
        </w:rPr>
        <w:t xml:space="preserve"> en cas de sinistre, conformément à l'objectif R2 du TDR.</w:t>
      </w:r>
    </w:p>
    <w:sectPr w:rsidR="0087564A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427026">
    <w:abstractNumId w:val="8"/>
  </w:num>
  <w:num w:numId="2" w16cid:durableId="1231962797">
    <w:abstractNumId w:val="6"/>
  </w:num>
  <w:num w:numId="3" w16cid:durableId="351297403">
    <w:abstractNumId w:val="5"/>
  </w:num>
  <w:num w:numId="4" w16cid:durableId="347870462">
    <w:abstractNumId w:val="4"/>
  </w:num>
  <w:num w:numId="5" w16cid:durableId="410351429">
    <w:abstractNumId w:val="7"/>
  </w:num>
  <w:num w:numId="6" w16cid:durableId="1629118061">
    <w:abstractNumId w:val="3"/>
  </w:num>
  <w:num w:numId="7" w16cid:durableId="1378316275">
    <w:abstractNumId w:val="2"/>
  </w:num>
  <w:num w:numId="8" w16cid:durableId="1823737004">
    <w:abstractNumId w:val="1"/>
  </w:num>
  <w:num w:numId="9" w16cid:durableId="1212889999">
    <w:abstractNumId w:val="0"/>
  </w:num>
  <w:num w:numId="10" w16cid:durableId="72333323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8C8"/>
    <w:rsid w:val="005E7C58"/>
    <w:rsid w:val="008756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EA843"/>
  <w14:defaultImageDpi w14:val="300"/>
  <w15:docId w15:val="{C09506CF-22AB-4F73-BFB5-95D6239C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Rufus Akande</cp:lastModifiedBy>
  <cp:revision>2</cp:revision>
  <dcterms:created xsi:type="dcterms:W3CDTF">2013-12-23T23:15:00Z</dcterms:created>
  <dcterms:modified xsi:type="dcterms:W3CDTF">2026-08-19T17:11:00Z</dcterms:modified>
  <cp:category/>
</cp:coreProperties>
</file>