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🛡️ PROCÉDURE DE GESTION DES DROITS DES PERSONNES (RGPD)</w:t>
      </w:r>
    </w:p>
    <w:p>
      <w:pPr>
        <w:pStyle w:val="Heading2"/>
      </w:pPr>
      <w:r>
        <w:rPr>
          <w:rFonts w:ascii="Calibri" w:hAnsi="Calibri"/>
          <w:color w:val="0B6623"/>
        </w:rPr>
        <w:t>Plateforme ARMANI — Gestion des Infrastructures des Communes du Borgou</w:t>
      </w:r>
    </w:p>
    <w:p>
      <w:pPr>
        <w:pStyle w:val="Heading2"/>
      </w:pPr>
      <w:r>
        <w:rPr>
          <w:rFonts w:ascii="Calibri" w:hAnsi="Calibri"/>
          <w:color w:val="0B6623"/>
        </w:rPr>
        <w:t>1. Objet et cadre</w:t>
      </w:r>
    </w:p>
    <w:p>
      <w:r>
        <w:rPr>
          <w:rFonts w:ascii="Calibri" w:hAnsi="Calibri"/>
        </w:rPr>
        <w:t>Cette procédure définit le traitement des demandes d'exercice des droits des personnes concernées, dans le cadre de la plateforme ARMANI (responsable de traitement : l'association éditrice).</w:t>
      </w:r>
    </w:p>
    <w:p>
      <w:r>
        <w:rPr>
          <w:rFonts w:ascii="Calibri" w:hAnsi="Calibri"/>
          <w:b/>
        </w:rPr>
        <w:t>Cadre juridique :</w:t>
      </w:r>
    </w:p>
    <w:p>
      <w:pPr>
        <w:pStyle w:val="ListBullet"/>
      </w:pPr>
      <w:r>
        <w:rPr>
          <w:rFonts w:ascii="Calibri" w:hAnsi="Calibri"/>
        </w:rPr>
        <w:t>Règlement (UE) 2016/679 (RGPD)</w:t>
      </w:r>
    </w:p>
    <w:p>
      <w:pPr>
        <w:pStyle w:val="ListBullet"/>
      </w:pPr>
      <w:r>
        <w:rPr>
          <w:rFonts w:ascii="Calibri" w:hAnsi="Calibri"/>
        </w:rPr>
        <w:t>Loi n° 2017-20 du 20 avril 2018 sur le numérique en République du Bénin</w:t>
      </w:r>
    </w:p>
    <w:p>
      <w:pPr>
        <w:pStyle w:val="Heading2"/>
      </w:pPr>
      <w:r>
        <w:rPr>
          <w:rFonts w:ascii="Calibri" w:hAnsi="Calibri"/>
          <w:color w:val="0B6623"/>
        </w:rPr>
        <w:t>2. Les droits des personnes concernées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Droit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Contenu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Réponse attendue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Accès</w:t>
            </w:r>
            <w:r>
              <w:rPr>
                <w:rFonts w:ascii="Calibri" w:hAnsi="Calibri"/>
                <w:sz w:val="18"/>
              </w:rPr>
              <w:t xml:space="preserve"> (art. 15)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Obtenir la confirmation du traitement et une copie des données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Copie des données (fichier lisible)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Rectification</w:t>
            </w:r>
            <w:r>
              <w:rPr>
                <w:rFonts w:ascii="Calibri" w:hAnsi="Calibri"/>
                <w:sz w:val="18"/>
              </w:rPr>
              <w:t xml:space="preserve"> (art. 16)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Corriger des données inexactes ou incomplètes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Mise à jour + confirmation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Effacement</w:t>
            </w:r>
            <w:r>
              <w:rPr>
                <w:rFonts w:ascii="Calibri" w:hAnsi="Calibri"/>
                <w:sz w:val="18"/>
              </w:rPr>
              <w:t xml:space="preserve"> (art. 17)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Suppression des données (« droit à l'oubli »)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Suppression ou motif de refus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Limitation</w:t>
            </w:r>
            <w:r>
              <w:rPr>
                <w:rFonts w:ascii="Calibri" w:hAnsi="Calibri"/>
                <w:sz w:val="18"/>
              </w:rPr>
              <w:t xml:space="preserve"> (art. 18)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Geler temporairement le traitement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Suspension du traitement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Portabilité</w:t>
            </w:r>
            <w:r>
              <w:rPr>
                <w:rFonts w:ascii="Calibri" w:hAnsi="Calibri"/>
                <w:sz w:val="18"/>
              </w:rPr>
              <w:t xml:space="preserve"> (art. 20)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Recevoir les données dans un format structuré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Export Excel/CSV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Opposition</w:t>
            </w:r>
            <w:r>
              <w:rPr>
                <w:rFonts w:ascii="Calibri" w:hAnsi="Calibri"/>
                <w:sz w:val="18"/>
              </w:rPr>
              <w:t xml:space="preserve"> (art. 21)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S'opposer à un traitement fondé sur intérêt légitime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Arrêt du traitement ou motif de refus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Réclamation</w:t>
            </w:r>
            <w:r>
              <w:rPr>
                <w:rFonts w:ascii="Calibri" w:hAnsi="Calibri"/>
                <w:sz w:val="18"/>
              </w:rPr>
              <w:t xml:space="preserve"> (art. 77)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Saisir l'autorité de contrôle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Information sur la voie de recours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 Voies de réception des demandes</w:t>
      </w:r>
    </w:p>
    <w:p>
      <w:r>
        <w:rPr>
          <w:rFonts w:ascii="Calibri" w:hAnsi="Calibri"/>
        </w:rPr>
        <w:t>Les demandes peuvent être reçues par :</w:t>
      </w:r>
    </w:p>
    <w:p>
      <w:pPr>
        <w:pStyle w:val="ListBullet"/>
      </w:pPr>
      <w:r>
        <w:rPr>
          <w:rFonts w:ascii="Calibri" w:hAnsi="Calibri"/>
          <w:b/>
        </w:rPr>
        <w:t>E-mail :</w:t>
      </w:r>
      <w:r>
        <w:rPr>
          <w:rFonts w:ascii="Calibri" w:hAnsi="Calibri"/>
        </w:rPr>
        <w:t xml:space="preserve"> [À COMPLÉTER — adresse RGPD, ex. dpo@association.bj]</w:t>
      </w:r>
    </w:p>
    <w:p>
      <w:pPr>
        <w:pStyle w:val="ListBullet"/>
      </w:pPr>
      <w:r>
        <w:rPr>
          <w:rFonts w:ascii="Calibri" w:hAnsi="Calibri"/>
          <w:b/>
        </w:rPr>
        <w:t>Courrier postal :</w:t>
      </w:r>
      <w:r>
        <w:rPr>
          <w:rFonts w:ascii="Calibri" w:hAnsi="Calibri"/>
        </w:rPr>
        <w:t xml:space="preserve"> [À COMPLÉTER — adresse du siège]</w:t>
      </w:r>
    </w:p>
    <w:p>
      <w:pPr>
        <w:pStyle w:val="ListBullet"/>
      </w:pPr>
      <w:r>
        <w:rPr>
          <w:rFonts w:ascii="Calibri" w:hAnsi="Calibri"/>
          <w:b/>
        </w:rPr>
        <w:t>Formulaire en ligne :</w:t>
      </w:r>
      <w:r>
        <w:rPr>
          <w:rFonts w:ascii="Calibri" w:hAnsi="Calibri"/>
        </w:rPr>
        <w:t xml:space="preserve"> [À COMPLÉTER — si mis en place]</w:t>
      </w:r>
    </w:p>
    <w:p>
      <w:pPr>
        <w:pStyle w:val="ListBullet"/>
      </w:pPr>
      <w:r>
        <w:rPr>
          <w:rFonts w:ascii="Calibri" w:hAnsi="Calibri"/>
          <w:b/>
        </w:rPr>
        <w:t>Verbalement :</w:t>
      </w:r>
      <w:r>
        <w:rPr>
          <w:rFonts w:ascii="Calibri" w:hAnsi="Calibri"/>
        </w:rPr>
        <w:t xml:space="preserve"> auprès du référent RGPD ou des administrateurs</w:t>
      </w:r>
    </w:p>
    <w:p>
      <w:r>
        <w:rPr>
          <w:rFonts w:ascii="Calibri" w:hAnsi="Calibri"/>
          <w:i/>
        </w:rPr>
        <w:t>Aucun paiement n'est exigé. Une demande manifestement infondée ou excessive peut donner lieu à une participation aux frais (art. 12.5 RGPD).</w:t>
      </w:r>
    </w:p>
    <w:p>
      <w:pPr>
        <w:pStyle w:val="Heading2"/>
      </w:pPr>
      <w:r>
        <w:rPr>
          <w:rFonts w:ascii="Calibri" w:hAnsi="Calibri"/>
          <w:color w:val="0B6623"/>
        </w:rPr>
        <w:t>4. Processus de traitement d'une demande</w:t>
      </w:r>
    </w:p>
    <w:p>
      <w:pPr>
        <w:pStyle w:val="Heading3"/>
      </w:pPr>
      <w:r>
        <w:rPr>
          <w:rFonts w:ascii="Calibri" w:hAnsi="Calibri"/>
          <w:color w:val="0B6623"/>
        </w:rPr>
        <w:t>Étape 1 — Réception et accusé de réception (J0)</w:t>
      </w:r>
    </w:p>
    <w:p>
      <w:pPr>
        <w:pStyle w:val="ListNumber"/>
      </w:pPr>
      <w:r>
        <w:rPr>
          <w:rFonts w:ascii="Calibri" w:hAnsi="Calibri"/>
        </w:rPr>
        <w:t xml:space="preserve">Enregistrer la demande dans le </w:t>
      </w:r>
      <w:r>
        <w:rPr>
          <w:rFonts w:ascii="Calibri" w:hAnsi="Calibri"/>
          <w:b/>
        </w:rPr>
        <w:t>registre des demandes</w:t>
      </w:r>
      <w:r>
        <w:rPr>
          <w:rFonts w:ascii="Calibri" w:hAnsi="Calibri"/>
        </w:rPr>
        <w:t xml:space="preserve"> (voir point 7).</w:t>
      </w:r>
    </w:p>
    <w:p>
      <w:pPr>
        <w:pStyle w:val="ListNumber"/>
      </w:pPr>
      <w:r>
        <w:rPr>
          <w:rFonts w:ascii="Calibri" w:hAnsi="Calibri"/>
        </w:rPr>
        <w:t xml:space="preserve">Accuser réception sous </w:t>
      </w:r>
      <w:r>
        <w:rPr>
          <w:rFonts w:ascii="Calibri" w:hAnsi="Calibri"/>
          <w:b/>
        </w:rPr>
        <w:t>5 jours ouvrés</w:t>
      </w:r>
      <w:r>
        <w:rPr>
          <w:rFonts w:ascii="Calibri" w:hAnsi="Calibri"/>
        </w:rPr>
        <w:t xml:space="preserve"> maximum.</w:t>
      </w:r>
    </w:p>
    <w:p>
      <w:pPr>
        <w:pStyle w:val="Heading3"/>
      </w:pPr>
      <w:r>
        <w:rPr>
          <w:rFonts w:ascii="Calibri" w:hAnsi="Calibri"/>
          <w:color w:val="0B6623"/>
        </w:rPr>
        <w:t>Étape 2 — Vérification d'identité (J0 → J5)</w:t>
      </w:r>
    </w:p>
    <w:p>
      <w:pPr>
        <w:pStyle w:val="ListNumber"/>
      </w:pPr>
      <w:r>
        <w:rPr>
          <w:rFonts w:ascii="Calibri" w:hAnsi="Calibri"/>
        </w:rPr>
        <w:t>Vérifier l'identité du demandeur par rapport aux données connues (nom, e-mail, commune).</w:t>
      </w:r>
    </w:p>
    <w:p>
      <w:pPr>
        <w:pStyle w:val="ListNumber"/>
      </w:pPr>
      <w:r>
        <w:rPr>
          <w:rFonts w:ascii="Calibri" w:hAnsi="Calibri"/>
        </w:rPr>
        <w:t xml:space="preserve">En cas de doute, demander une </w:t>
      </w:r>
      <w:r>
        <w:rPr>
          <w:rFonts w:ascii="Calibri" w:hAnsi="Calibri"/>
          <w:b/>
        </w:rPr>
        <w:t>preuve d'identité</w:t>
      </w:r>
      <w:r>
        <w:rPr>
          <w:rFonts w:ascii="Calibri" w:hAnsi="Calibri"/>
        </w:rPr>
        <w:t xml:space="preserve"> (pièce d'identité).</w:t>
      </w:r>
    </w:p>
    <w:p>
      <w:pPr>
        <w:pStyle w:val="ListNumber"/>
      </w:pPr>
      <w:r>
        <w:rPr>
          <w:rFonts w:ascii="Calibri" w:hAnsi="Calibri"/>
          <w:b/>
        </w:rPr>
        <w:t>Règle :</w:t>
      </w:r>
      <w:r>
        <w:rPr>
          <w:rFonts w:ascii="Calibri" w:hAnsi="Calibri"/>
        </w:rPr>
        <w:t xml:space="preserve"> ne jamais transmettre de données à une personne non identifiée.</w:t>
      </w:r>
    </w:p>
    <w:p>
      <w:pPr>
        <w:pStyle w:val="Heading3"/>
      </w:pPr>
      <w:r>
        <w:rPr>
          <w:rFonts w:ascii="Calibri" w:hAnsi="Calibri"/>
          <w:color w:val="0B6623"/>
        </w:rPr>
        <w:t>Étape 3 — Analyse de la demande (J5 → J15)</w:t>
      </w:r>
    </w:p>
    <w:p>
      <w:pPr>
        <w:pStyle w:val="ListNumber"/>
      </w:pPr>
      <w:r>
        <w:rPr>
          <w:rFonts w:ascii="Calibri" w:hAnsi="Calibri"/>
        </w:rPr>
        <w:t>Identifier les données concernées (comptes, fiches infrastructures, journaux).</w:t>
      </w:r>
    </w:p>
    <w:p>
      <w:pPr>
        <w:pStyle w:val="ListNumber"/>
      </w:pPr>
      <w:r>
        <w:rPr>
          <w:rFonts w:ascii="Calibri" w:hAnsi="Calibri"/>
        </w:rPr>
        <w:t xml:space="preserve">Vérifier les </w:t>
      </w:r>
      <w:r>
        <w:rPr>
          <w:rFonts w:ascii="Calibri" w:hAnsi="Calibri"/>
          <w:b/>
        </w:rPr>
        <w:t>exceptions légales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</w:rPr>
        <w:t xml:space="preserve">L'effacement ne s'applique pas si le traitement est requis par une </w:t>
      </w:r>
      <w:r>
        <w:rPr>
          <w:rFonts w:ascii="Calibri" w:hAnsi="Calibri"/>
          <w:b/>
        </w:rPr>
        <w:t>obligation légale</w:t>
      </w:r>
      <w:r>
        <w:rPr>
          <w:rFonts w:ascii="Calibri" w:hAnsi="Calibri"/>
        </w:rPr>
        <w:t xml:space="preserve"> ou une </w:t>
      </w:r>
      <w:r>
        <w:rPr>
          <w:rFonts w:ascii="Calibri" w:hAnsi="Calibri"/>
          <w:b/>
        </w:rPr>
        <w:t>mission d'intérêt public</w:t>
      </w:r>
      <w:r>
        <w:rPr>
          <w:rFonts w:ascii="Calibri" w:hAnsi="Calibri"/>
        </w:rPr>
        <w:t xml:space="preserve"> (ex. recensement des infrastructures publiques).</w:t>
      </w:r>
    </w:p>
    <w:p>
      <w:pPr>
        <w:pStyle w:val="ListBullet"/>
      </w:pPr>
      <w:r>
        <w:rPr>
          <w:rFonts w:ascii="Calibri" w:hAnsi="Calibri"/>
        </w:rPr>
        <w:t>Le droit d'opposition ne s'applique pas aux traitements nécessaires à l'exécution de la mission.</w:t>
      </w:r>
    </w:p>
    <w:p>
      <w:pPr>
        <w:pStyle w:val="ListNumber"/>
      </w:pPr>
      <w:r>
        <w:rPr>
          <w:rFonts w:ascii="Calibri" w:hAnsi="Calibri"/>
        </w:rPr>
        <w:t>Solliciter l'administrateur technique si un accès à la base de données est nécessaire.</w:t>
      </w:r>
    </w:p>
    <w:p>
      <w:pPr>
        <w:pStyle w:val="Heading3"/>
      </w:pPr>
      <w:r>
        <w:rPr>
          <w:rFonts w:ascii="Calibri" w:hAnsi="Calibri"/>
          <w:color w:val="0B6623"/>
        </w:rPr>
        <w:t>Étape 4 — Réponse au demandeur (≤ J30, prolongeable 2 mois)</w:t>
      </w:r>
    </w:p>
    <w:p>
      <w:pPr>
        <w:pStyle w:val="ListNumber"/>
      </w:pPr>
      <w:r>
        <w:rPr>
          <w:rFonts w:ascii="Calibri" w:hAnsi="Calibri"/>
          <w:b/>
        </w:rPr>
        <w:t>Favorable :</w:t>
      </w:r>
      <w:r>
        <w:rPr>
          <w:rFonts w:ascii="Calibri" w:hAnsi="Calibri"/>
        </w:rPr>
        <w:t xml:space="preserve"> fournir la copie, procéder à la rectification / suppression / limitation, et confirmer par écrit.</w:t>
      </w:r>
    </w:p>
    <w:p>
      <w:pPr>
        <w:pStyle w:val="ListNumber"/>
      </w:pPr>
      <w:r>
        <w:rPr>
          <w:rFonts w:ascii="Calibri" w:hAnsi="Calibri"/>
          <w:b/>
        </w:rPr>
        <w:t>Refus :</w:t>
      </w:r>
      <w:r>
        <w:rPr>
          <w:rFonts w:ascii="Calibri" w:hAnsi="Calibri"/>
        </w:rPr>
        <w:t xml:space="preserve"> motiver le refus par écrit, informer du </w:t>
      </w:r>
      <w:r>
        <w:rPr>
          <w:rFonts w:ascii="Calibri" w:hAnsi="Calibri"/>
          <w:b/>
        </w:rPr>
        <w:t>droit de réclamation</w:t>
      </w:r>
      <w:r>
        <w:rPr>
          <w:rFonts w:ascii="Calibri" w:hAnsi="Calibri"/>
        </w:rPr>
        <w:t xml:space="preserve"> auprès de l'autorité de contrôle et de la </w:t>
      </w:r>
      <w:r>
        <w:rPr>
          <w:rFonts w:ascii="Calibri" w:hAnsi="Calibri"/>
          <w:b/>
        </w:rPr>
        <w:t>voie de recours juridictionnelle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En cas de demande complexe, informer le demandeur de la </w:t>
      </w:r>
      <w:r>
        <w:rPr>
          <w:rFonts w:ascii="Calibri" w:hAnsi="Calibri"/>
          <w:b/>
        </w:rPr>
        <w:t>prolongation</w:t>
      </w:r>
      <w:r>
        <w:rPr>
          <w:rFonts w:ascii="Calibri" w:hAnsi="Calibri"/>
        </w:rPr>
        <w:t xml:space="preserve"> (2 mois supplémentaires) sous 1 mois.</w:t>
      </w:r>
    </w:p>
    <w:p>
      <w:pPr>
        <w:pStyle w:val="Heading3"/>
      </w:pPr>
      <w:r>
        <w:rPr>
          <w:rFonts w:ascii="Calibri" w:hAnsi="Calibri"/>
          <w:color w:val="0B6623"/>
        </w:rPr>
        <w:t>Étape 5 — Traçabilité (après réponse)</w:t>
      </w:r>
    </w:p>
    <w:p>
      <w:pPr>
        <w:pStyle w:val="ListNumber"/>
      </w:pPr>
      <w:r>
        <w:rPr>
          <w:rFonts w:ascii="Calibri" w:hAnsi="Calibri"/>
        </w:rPr>
        <w:t>Clôturer la demande dans le registre (date, décision, motif).</w:t>
      </w:r>
    </w:p>
    <w:p>
      <w:pPr>
        <w:pStyle w:val="ListNumber"/>
      </w:pPr>
      <w:r>
        <w:rPr>
          <w:rFonts w:ascii="Calibri" w:hAnsi="Calibri"/>
        </w:rPr>
        <w:t xml:space="preserve">Informer les </w:t>
      </w:r>
      <w:r>
        <w:rPr>
          <w:rFonts w:ascii="Calibri" w:hAnsi="Calibri"/>
          <w:b/>
        </w:rPr>
        <w:t>destinataires</w:t>
      </w:r>
      <w:r>
        <w:rPr>
          <w:rFonts w:ascii="Calibri" w:hAnsi="Calibri"/>
        </w:rPr>
        <w:t xml:space="preserve"> des données (si rectification/effacement) conformément à l'article 19 RGPD, sauf effort disproportionné.</w:t>
      </w:r>
    </w:p>
    <w:p>
      <w:pPr>
        <w:pStyle w:val="Heading2"/>
      </w:pPr>
      <w:r>
        <w:rPr>
          <w:rFonts w:ascii="Calibri" w:hAnsi="Calibri"/>
          <w:color w:val="0B6623"/>
        </w:rPr>
        <w:t>5. Rôles et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Responsabilité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Référent RGPD / DPO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Suivi des demandes, arbitrage, décision de refus, contact autorité de contrôle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Super administrateur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Accès techniques à la base, exécution des modifications/suppressions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Administrateurs de commune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Remontée des demandes des agents/publics de leur commune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Support technique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Assistance sur les exports (portabilité) et les journaux (accès)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6. Délais et indicateurs</w:t>
      </w:r>
    </w:p>
    <w:p>
      <w:pPr>
        <w:pStyle w:val="ListBullet"/>
      </w:pPr>
      <w:r>
        <w:rPr>
          <w:rFonts w:ascii="Calibri" w:hAnsi="Calibri"/>
          <w:b/>
        </w:rPr>
        <w:t>Délai légal de réponse :</w:t>
      </w:r>
      <w:r>
        <w:rPr>
          <w:rFonts w:ascii="Calibri" w:hAnsi="Calibri"/>
        </w:rPr>
        <w:t xml:space="preserve"> 1 mois (prolongeable 2 mois).</w:t>
      </w:r>
    </w:p>
    <w:p>
      <w:pPr>
        <w:pStyle w:val="ListBullet"/>
      </w:pPr>
      <w:r>
        <w:rPr>
          <w:rFonts w:ascii="Calibri" w:hAnsi="Calibri"/>
          <w:b/>
        </w:rPr>
        <w:t>Objectif interne :</w:t>
      </w:r>
      <w:r>
        <w:rPr>
          <w:rFonts w:ascii="Calibri" w:hAnsi="Calibri"/>
        </w:rPr>
        <w:t xml:space="preserve"> réponse sous </w:t>
      </w:r>
      <w:r>
        <w:rPr>
          <w:rFonts w:ascii="Calibri" w:hAnsi="Calibri"/>
          <w:b/>
        </w:rPr>
        <w:t>15 jours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  <w:b/>
        </w:rPr>
        <w:t>Indicateurs de suivi :</w:t>
      </w:r>
      <w:r>
        <w:rPr>
          <w:rFonts w:ascii="Calibri" w:hAnsi="Calibri"/>
        </w:rPr>
        <w:t xml:space="preserve"> nombre de demandes / mois, délai moyen de réponse, taux de satisfaction.</w:t>
      </w:r>
    </w:p>
    <w:p>
      <w:pPr>
        <w:pStyle w:val="Heading2"/>
      </w:pPr>
      <w:r>
        <w:rPr>
          <w:rFonts w:ascii="Calibri" w:hAnsi="Calibri"/>
          <w:color w:val="0B6623"/>
        </w:rPr>
        <w:t>7. Registre des demandes</w:t>
      </w:r>
    </w:p>
    <w:p>
      <w:r>
        <w:rPr>
          <w:rFonts w:ascii="Calibri" w:hAnsi="Calibri"/>
        </w:rPr>
        <w:t>Chaque demande est consignée dans un registre (tableur ou outil dédié)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Demandeur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Droit exercé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Identité vérifiée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Décision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Délai</w:t>
            </w:r>
          </w:p>
        </w:tc>
        <w:tc>
          <w:tcPr>
            <w:tcW w:type="dxa" w:w="120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Statut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JJ/MM/AAAA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[Nom]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Accès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Oui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Accord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10 j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Clôturée</w:t>
            </w:r>
          </w:p>
        </w:tc>
      </w:tr>
      <w:tr>
        <w:tc>
          <w:tcPr>
            <w:tcW w:type="dxa" w:w="120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...</w:t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rFonts w:ascii="Calibri" w:hAnsi="Calibri"/>
        </w:rPr>
        <w:t>Le registre est conservé pendant la durée du traitement + les délais de prescription applicables.</w:t>
      </w:r>
    </w:p>
    <w:p>
      <w:pPr>
        <w:pStyle w:val="Heading2"/>
      </w:pPr>
      <w:r>
        <w:rPr>
          <w:rFonts w:ascii="Calibri" w:hAnsi="Calibri"/>
          <w:color w:val="0B6623"/>
        </w:rPr>
        <w:t>8. Violation de données (rappel)</w:t>
      </w:r>
    </w:p>
    <w:p>
      <w:r>
        <w:rPr>
          <w:rFonts w:ascii="Calibri" w:hAnsi="Calibri"/>
        </w:rPr>
        <w:t>En cas de violation de données à caractère personnel :</w:t>
      </w:r>
    </w:p>
    <w:p>
      <w:pPr>
        <w:pStyle w:val="ListNumber"/>
      </w:pPr>
      <w:r>
        <w:rPr>
          <w:rFonts w:ascii="Calibri" w:hAnsi="Calibri"/>
        </w:rPr>
        <w:t>Contenir et évaluer l'incident immédiatement.</w:t>
      </w:r>
    </w:p>
    <w:p>
      <w:pPr>
        <w:pStyle w:val="ListNumber"/>
      </w:pPr>
      <w:r>
        <w:rPr>
          <w:rFonts w:ascii="Calibri" w:hAnsi="Calibri"/>
          <w:b/>
        </w:rPr>
        <w:t>Notifier l'autorité de contrôle sous 72 heures</w:t>
      </w:r>
      <w:r>
        <w:rPr>
          <w:rFonts w:ascii="Calibri" w:hAnsi="Calibri"/>
        </w:rPr>
        <w:t xml:space="preserve"> (sauf risque faible).</w:t>
      </w:r>
    </w:p>
    <w:p>
      <w:pPr>
        <w:pStyle w:val="ListNumber"/>
      </w:pPr>
      <w:r>
        <w:rPr>
          <w:rFonts w:ascii="Calibri" w:hAnsi="Calibri"/>
        </w:rPr>
        <w:t>Informer les personnes concernées si le risque est élevé.</w:t>
      </w:r>
    </w:p>
    <w:p>
      <w:pPr>
        <w:pStyle w:val="ListNumber"/>
      </w:pPr>
      <w:r>
        <w:rPr>
          <w:rFonts w:ascii="Calibri" w:hAnsi="Calibri"/>
        </w:rPr>
        <w:t>Consigner l'incident dans le registre des violations.</w:t>
      </w:r>
    </w:p>
    <w:p>
      <w:r>
        <w:rPr>
          <w:rFonts w:ascii="Calibri" w:hAnsi="Calibri"/>
        </w:rPr>
        <w:t>*Procédure à valider par la direction de l'association et le référent RGPD.*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