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🚨 PROCÉDURE DE GESTION DES INCIDENTS DE SÉCURITÉ</w:t>
      </w:r>
    </w:p>
    <w:p>
      <w:pPr>
        <w:pStyle w:val="Heading2"/>
      </w:pPr>
      <w:r>
        <w:rPr>
          <w:rFonts w:ascii="Calibri" w:hAnsi="Calibri"/>
          <w:color w:val="0B6623"/>
        </w:rPr>
        <w:t>Plateforme ARMANI — Gestion des Infrastructures des Communes du Borgou</w:t>
      </w:r>
    </w:p>
    <w:p>
      <w:pPr>
        <w:pStyle w:val="Heading2"/>
      </w:pPr>
      <w:r>
        <w:rPr>
          <w:rFonts w:ascii="Calibri" w:hAnsi="Calibri"/>
          <w:color w:val="0B6623"/>
        </w:rPr>
        <w:t>1. Objet et définition</w:t>
      </w:r>
    </w:p>
    <w:p>
      <w:r>
        <w:rPr>
          <w:rFonts w:ascii="Calibri" w:hAnsi="Calibri"/>
        </w:rPr>
        <w:t>Cette procédure définit la conduite à tenir en cas d'</w:t>
      </w:r>
      <w:r>
        <w:rPr>
          <w:rFonts w:ascii="Calibri" w:hAnsi="Calibri"/>
          <w:b/>
        </w:rPr>
        <w:t>incident de sécurité</w:t>
      </w:r>
      <w:r>
        <w:rPr>
          <w:rFonts w:ascii="Calibri" w:hAnsi="Calibri"/>
        </w:rPr>
        <w:t xml:space="preserve"> affectant la plateforme ARMANI ou ses données.</w:t>
      </w:r>
    </w:p>
    <w:p>
      <w:r>
        <w:rPr>
          <w:rFonts w:ascii="Calibri" w:hAnsi="Calibri"/>
          <w:b/>
        </w:rPr>
        <w:t>Incident de sécurité :</w:t>
      </w:r>
      <w:r>
        <w:rPr>
          <w:rFonts w:ascii="Calibri" w:hAnsi="Calibri"/>
        </w:rPr>
        <w:t xml:space="preserve"> tout événement compromettant la </w:t>
      </w:r>
      <w:r>
        <w:rPr>
          <w:rFonts w:ascii="Calibri" w:hAnsi="Calibri"/>
          <w:b/>
        </w:rPr>
        <w:t>confidentialité, l'intégrité ou la disponibilité</w:t>
      </w:r>
      <w:r>
        <w:rPr>
          <w:rFonts w:ascii="Calibri" w:hAnsi="Calibri"/>
        </w:rPr>
        <w:t xml:space="preserve"> des données ou des systèmes : accès non autorisé, vol de compte, compromission, attaque informatique, perte ou altération de données, intrusion.</w:t>
      </w:r>
    </w:p>
    <w:p>
      <w:r>
        <w:rPr>
          <w:rFonts w:ascii="Calibri" w:hAnsi="Calibri"/>
          <w:b/>
        </w:rPr>
        <w:t>Cas particulier — violation de données personnelles :</w:t>
      </w:r>
      <w:r>
        <w:rPr>
          <w:rFonts w:ascii="Calibri" w:hAnsi="Calibri"/>
        </w:rPr>
        <w:t xml:space="preserve"> incident entraînant accidentellement ou illicitement la destruction, la perte, la modification, la divulgation ou l'accès non autorisé à des données à caractère personnel (RGPD — art. 4).</w:t>
      </w:r>
    </w:p>
    <w:p>
      <w:pPr>
        <w:pStyle w:val="Heading2"/>
      </w:pPr>
      <w:r>
        <w:rPr>
          <w:rFonts w:ascii="Calibri" w:hAnsi="Calibri"/>
          <w:color w:val="0B6623"/>
        </w:rPr>
        <w:t>2. Catégories d'incidents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Catégorie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Exemples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Accès non autorisé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Connexion avec un compte volé, tentative d'intrusion, escalade de privilèges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Vol / compromission de compte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Phishing, mot de passe divulgué, MFA contournée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Malware / attaque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Injection SQL, XSS, déni de service (DDoS), rançongiciel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Perte / altération de données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Suppression accidentelle, corruption de base, erreur de manipulation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Défaillance technique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Panne serveur, indisponibilité prolongée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Violation de données personnelles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Fuite, divulgation ou perte de données d'utilisateurs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3. Niveaux de gravité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Niveau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Gravité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Exemple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Réaction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P1 — Critique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Impact majeur, données sensibles exposées, service indisponible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Intrusion, fuite de données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Mobilisation immédiate, notification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P2 — Élevé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Impact significatif, compte compromis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Vol de compte admin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Action sous 24 h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P3 — Moyen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Impact limité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Tentative avortée, erreur mineure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Action sous 72 h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P4 — Faible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Impact négligeable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Spam, comportement anormal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Suivi normal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4. Processus de gestion d'un incident</w:t>
      </w:r>
    </w:p>
    <w:p>
      <w:pPr>
        <w:pStyle w:val="Heading3"/>
      </w:pPr>
      <w:r>
        <w:rPr>
          <w:rFonts w:ascii="Calibri" w:hAnsi="Calibri"/>
          <w:color w:val="0B6623"/>
        </w:rPr>
        <w:t>Étape 1 — Détection et signalement</w:t>
      </w:r>
    </w:p>
    <w:p>
      <w:r>
        <w:rPr>
          <w:rFonts w:ascii="Calibri" w:hAnsi="Calibri"/>
        </w:rPr>
        <w:t xml:space="preserve">Tout utilisateur constatant un comportement anormal </w:t>
      </w:r>
      <w:r>
        <w:rPr>
          <w:rFonts w:ascii="Calibri" w:hAnsi="Calibri"/>
          <w:b/>
        </w:rPr>
        <w:t>signale immédiatement</w:t>
      </w:r>
      <w:r>
        <w:rPr>
          <w:rFonts w:ascii="Calibri" w:hAnsi="Calibri"/>
        </w:rPr>
        <w:t xml:space="preserve"> à l'équipe technique / à l'administrateur :</w:t>
      </w:r>
    </w:p>
    <w:p>
      <w:pPr>
        <w:pStyle w:val="ListBullet"/>
      </w:pPr>
      <w:r>
        <w:rPr>
          <w:rFonts w:ascii="Calibri" w:hAnsi="Calibri"/>
        </w:rPr>
        <w:t>Référent sécurité : [À COMPLÉTER — nom, e-mail, téléphone]</w:t>
      </w:r>
    </w:p>
    <w:p>
      <w:pPr>
        <w:pStyle w:val="ListBullet"/>
      </w:pPr>
      <w:r>
        <w:rPr>
          <w:rFonts w:ascii="Calibri" w:hAnsi="Calibri"/>
        </w:rPr>
        <w:t>Support Open.bj (si incident hébergeur) : [À COMPLÉTER — téléphone / ticket]</w:t>
      </w:r>
    </w:p>
    <w:p>
      <w:pPr>
        <w:pStyle w:val="Heading3"/>
      </w:pPr>
      <w:r>
        <w:rPr>
          <w:rFonts w:ascii="Calibri" w:hAnsi="Calibri"/>
          <w:color w:val="0B6623"/>
        </w:rPr>
        <w:t>Étape 2 — Évaluation et classification</w:t>
      </w:r>
    </w:p>
    <w:p>
      <w:pPr>
        <w:pStyle w:val="ListNumber"/>
      </w:pPr>
      <w:r>
        <w:rPr>
          <w:rFonts w:ascii="Calibri" w:hAnsi="Calibri"/>
        </w:rPr>
        <w:t>Confirmer la réalité de l'incident.</w:t>
      </w:r>
    </w:p>
    <w:p>
      <w:pPr>
        <w:pStyle w:val="ListNumber"/>
      </w:pPr>
      <w:r>
        <w:rPr>
          <w:rFonts w:ascii="Calibri" w:hAnsi="Calibri"/>
        </w:rPr>
        <w:t xml:space="preserve">Déterminer le </w:t>
      </w:r>
      <w:r>
        <w:rPr>
          <w:rFonts w:ascii="Calibri" w:hAnsi="Calibri"/>
          <w:b/>
        </w:rPr>
        <w:t>niveau de gravité</w:t>
      </w:r>
      <w:r>
        <w:rPr>
          <w:rFonts w:ascii="Calibri" w:hAnsi="Calibri"/>
        </w:rPr>
        <w:t xml:space="preserve"> (P1 → P4).</w:t>
      </w:r>
    </w:p>
    <w:p>
      <w:pPr>
        <w:pStyle w:val="ListNumber"/>
      </w:pPr>
      <w:r>
        <w:rPr>
          <w:rFonts w:ascii="Calibri" w:hAnsi="Calibri"/>
        </w:rPr>
        <w:t xml:space="preserve">Identifier les </w:t>
      </w:r>
      <w:r>
        <w:rPr>
          <w:rFonts w:ascii="Calibri" w:hAnsi="Calibri"/>
          <w:b/>
        </w:rPr>
        <w:t>données affectées</w:t>
      </w:r>
      <w:r>
        <w:rPr>
          <w:rFonts w:ascii="Calibri" w:hAnsi="Calibri"/>
        </w:rPr>
        <w:t xml:space="preserve"> et les </w:t>
      </w:r>
      <w:r>
        <w:rPr>
          <w:rFonts w:ascii="Calibri" w:hAnsi="Calibri"/>
          <w:b/>
        </w:rPr>
        <w:t>personnes concernées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>Étape 3 — Contenement (endiguement)</w:t>
      </w:r>
    </w:p>
    <w:p>
      <w:pPr>
        <w:pStyle w:val="ListNumber"/>
      </w:pPr>
      <w:r>
        <w:rPr>
          <w:rFonts w:ascii="Calibri" w:hAnsi="Calibri"/>
          <w:b/>
        </w:rPr>
        <w:t>Isoler</w:t>
      </w:r>
      <w:r>
        <w:rPr>
          <w:rFonts w:ascii="Calibri" w:hAnsi="Calibri"/>
        </w:rPr>
        <w:t xml:space="preserve"> les systèmes touchés (révoquer les sessions, bloquer les comptes, mettre hors ligne si nécessaire : </w:t>
      </w:r>
      <w:r>
        <w:rPr>
          <w:rFonts w:ascii="Consolas" w:hAnsi="Consolas"/>
          <w:color w:val="8A1C1C"/>
          <w:sz w:val="18"/>
        </w:rPr>
        <w:t>php artisan down</w:t>
      </w:r>
      <w:r>
        <w:rPr>
          <w:rFonts w:ascii="Calibri" w:hAnsi="Calibri"/>
        </w:rPr>
        <w:t>).</w:t>
      </w:r>
    </w:p>
    <w:p>
      <w:pPr>
        <w:pStyle w:val="ListNumber"/>
      </w:pPr>
      <w:r>
        <w:rPr>
          <w:rFonts w:ascii="Calibri" w:hAnsi="Calibri"/>
          <w:b/>
        </w:rPr>
        <w:t>Changer les mots de passe</w:t>
      </w:r>
      <w:r>
        <w:rPr>
          <w:rFonts w:ascii="Calibri" w:hAnsi="Calibri"/>
        </w:rPr>
        <w:t xml:space="preserve"> et révoquer les jetons d'authentification concernés.</w:t>
      </w:r>
    </w:p>
    <w:p>
      <w:pPr>
        <w:pStyle w:val="ListNumber"/>
      </w:pPr>
      <w:r>
        <w:rPr>
          <w:rFonts w:ascii="Calibri" w:hAnsi="Calibri"/>
          <w:b/>
        </w:rPr>
        <w:t>Conserver les preuves</w:t>
      </w:r>
      <w:r>
        <w:rPr>
          <w:rFonts w:ascii="Calibri" w:hAnsi="Calibri"/>
        </w:rPr>
        <w:t xml:space="preserve"> (journaux, captures) sans altérer les données.</w:t>
      </w:r>
    </w:p>
    <w:p>
      <w:pPr>
        <w:pStyle w:val="Heading3"/>
      </w:pPr>
      <w:r>
        <w:rPr>
          <w:rFonts w:ascii="Calibri" w:hAnsi="Calibri"/>
          <w:color w:val="0B6623"/>
        </w:rPr>
        <w:t>Étape 4 — Éradication</w:t>
      </w:r>
    </w:p>
    <w:p>
      <w:pPr>
        <w:pStyle w:val="ListNumber"/>
      </w:pPr>
      <w:r>
        <w:rPr>
          <w:rFonts w:ascii="Calibri" w:hAnsi="Calibri"/>
        </w:rPr>
        <w:t>Éliminer la cause (correction de faille, suppression du malware, blocage de l'attaque).</w:t>
      </w:r>
    </w:p>
    <w:p>
      <w:pPr>
        <w:pStyle w:val="ListNumber"/>
      </w:pPr>
      <w:r>
        <w:rPr>
          <w:rFonts w:ascii="Calibri" w:hAnsi="Calibri"/>
        </w:rPr>
        <w:t>Mettre à jour les composants (Laravel, dépendances, PHP, MySQL) et renforcer la configuration.</w:t>
      </w:r>
    </w:p>
    <w:p>
      <w:pPr>
        <w:pStyle w:val="Heading3"/>
      </w:pPr>
      <w:r>
        <w:rPr>
          <w:rFonts w:ascii="Calibri" w:hAnsi="Calibri"/>
          <w:color w:val="0B6623"/>
        </w:rPr>
        <w:t>Étape 5 — Rétablissement</w:t>
      </w:r>
    </w:p>
    <w:p>
      <w:pPr>
        <w:pStyle w:val="ListNumber"/>
      </w:pPr>
      <w:r>
        <w:rPr>
          <w:rFonts w:ascii="Calibri" w:hAnsi="Calibri"/>
        </w:rPr>
        <w:t xml:space="preserve">Restaurer les données à partir des sauvegardes si nécessaire (voir </w:t>
      </w:r>
      <w:r>
        <w:rPr>
          <w:rFonts w:ascii="Consolas" w:hAnsi="Consolas"/>
          <w:color w:val="8A1C1C"/>
          <w:sz w:val="18"/>
        </w:rPr>
        <w:t>PRA_PCA_SAUVEGARDE.md</w:t>
      </w:r>
      <w:r>
        <w:rPr>
          <w:rFonts w:ascii="Calibri" w:hAnsi="Calibri"/>
        </w:rPr>
        <w:t>).</w:t>
      </w:r>
    </w:p>
    <w:p>
      <w:pPr>
        <w:pStyle w:val="ListNumber"/>
      </w:pPr>
      <w:r>
        <w:rPr>
          <w:rFonts w:ascii="Calibri" w:hAnsi="Calibri"/>
        </w:rPr>
        <w:t>Vérifier l'intégrité des données et le bon fonctionnement.</w:t>
      </w:r>
    </w:p>
    <w:p>
      <w:pPr>
        <w:pStyle w:val="ListNumber"/>
      </w:pPr>
      <w:r>
        <w:rPr>
          <w:rFonts w:ascii="Calibri" w:hAnsi="Calibri"/>
        </w:rPr>
        <w:t>Remettre le service en ligne.</w:t>
      </w:r>
    </w:p>
    <w:p>
      <w:pPr>
        <w:pStyle w:val="Heading3"/>
      </w:pPr>
      <w:r>
        <w:rPr>
          <w:rFonts w:ascii="Calibri" w:hAnsi="Calibri"/>
          <w:color w:val="0B6623"/>
        </w:rPr>
        <w:t>Étape 6 — Retour d'expérience (REX)</w:t>
      </w:r>
    </w:p>
    <w:p>
      <w:pPr>
        <w:pStyle w:val="ListNumber"/>
      </w:pPr>
      <w:r>
        <w:rPr>
          <w:rFonts w:ascii="Calibri" w:hAnsi="Calibri"/>
        </w:rPr>
        <w:t xml:space="preserve">Rédiger un </w:t>
      </w:r>
      <w:r>
        <w:rPr>
          <w:rFonts w:ascii="Calibri" w:hAnsi="Calibri"/>
          <w:b/>
        </w:rPr>
        <w:t>rapport d'incident</w:t>
      </w:r>
      <w:r>
        <w:rPr>
          <w:rFonts w:ascii="Calibri" w:hAnsi="Calibri"/>
        </w:rPr>
        <w:t xml:space="preserve"> (chronologie, causes, impact, actions, leçons).</w:t>
      </w:r>
    </w:p>
    <w:p>
      <w:pPr>
        <w:pStyle w:val="ListNumber"/>
      </w:pPr>
      <w:r>
        <w:rPr>
          <w:rFonts w:ascii="Calibri" w:hAnsi="Calibri"/>
        </w:rPr>
        <w:t>Mettre à jour les procédures et corriger les failles détectées.</w:t>
      </w:r>
    </w:p>
    <w:p>
      <w:pPr>
        <w:pStyle w:val="ListNumber"/>
      </w:pPr>
      <w:r>
        <w:rPr>
          <w:rFonts w:ascii="Calibri" w:hAnsi="Calibri"/>
        </w:rPr>
        <w:t xml:space="preserve">Consigner l'incident dans le </w:t>
      </w:r>
      <w:r>
        <w:rPr>
          <w:rFonts w:ascii="Calibri" w:hAnsi="Calibri"/>
          <w:b/>
        </w:rPr>
        <w:t>registre des incidents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5. Notification (violation de données personnelles)</w:t>
      </w:r>
    </w:p>
    <w:p>
      <w:r>
        <w:rPr>
          <w:rFonts w:ascii="Calibri" w:hAnsi="Calibri"/>
        </w:rPr>
        <w:t xml:space="preserve">En cas de </w:t>
      </w:r>
      <w:r>
        <w:rPr>
          <w:rFonts w:ascii="Calibri" w:hAnsi="Calibri"/>
          <w:b/>
        </w:rPr>
        <w:t>violation de données à caractère personnel</w:t>
      </w:r>
      <w:r>
        <w:rPr>
          <w:rFonts w:ascii="Calibri" w:hAnsi="Calibri"/>
        </w:rPr>
        <w:t xml:space="preserve"> (RGPD — art. 33 et 34) :</w:t>
      </w:r>
    </w:p>
    <w:p>
      <w:pPr>
        <w:pStyle w:val="ListNumber"/>
      </w:pPr>
      <w:r>
        <w:rPr>
          <w:rFonts w:ascii="Calibri" w:hAnsi="Calibri"/>
          <w:b/>
        </w:rPr>
        <w:t>Autorité de contrôle :</w:t>
      </w:r>
      <w:r>
        <w:rPr>
          <w:rFonts w:ascii="Calibri" w:hAnsi="Calibri"/>
        </w:rPr>
        <w:t xml:space="preserve"> notification </w:t>
      </w:r>
      <w:r>
        <w:rPr>
          <w:rFonts w:ascii="Calibri" w:hAnsi="Calibri"/>
          <w:b/>
        </w:rPr>
        <w:t>sous 72 heures</w:t>
      </w:r>
      <w:r>
        <w:rPr>
          <w:rFonts w:ascii="Calibri" w:hAnsi="Calibri"/>
        </w:rPr>
        <w:t xml:space="preserve"> avec description de l'incident, des données concernées et des mesures prises. *(Bénin : Autorité de Protection des Données Personnelles — APDP.)*</w:t>
      </w:r>
    </w:p>
    <w:p>
      <w:pPr>
        <w:pStyle w:val="ListNumber"/>
      </w:pPr>
      <w:r>
        <w:rPr>
          <w:rFonts w:ascii="Calibri" w:hAnsi="Calibri"/>
          <w:b/>
        </w:rPr>
        <w:t>Personnes concernées :</w:t>
      </w:r>
      <w:r>
        <w:rPr>
          <w:rFonts w:ascii="Calibri" w:hAnsi="Calibri"/>
        </w:rPr>
        <w:t xml:space="preserve"> information </w:t>
      </w:r>
      <w:r>
        <w:rPr>
          <w:rFonts w:ascii="Calibri" w:hAnsi="Calibri"/>
          <w:b/>
        </w:rPr>
        <w:t>sans délai</w:t>
      </w:r>
      <w:r>
        <w:rPr>
          <w:rFonts w:ascii="Calibri" w:hAnsi="Calibri"/>
        </w:rPr>
        <w:t xml:space="preserve"> si le risque pour leurs droits est élevé.</w:t>
      </w:r>
    </w:p>
    <w:p>
      <w:pPr>
        <w:pStyle w:val="ListNumber"/>
      </w:pPr>
      <w:r>
        <w:rPr>
          <w:rFonts w:ascii="Calibri" w:hAnsi="Calibri"/>
          <w:b/>
        </w:rPr>
        <w:t>Hébergeur :</w:t>
      </w:r>
      <w:r>
        <w:rPr>
          <w:rFonts w:ascii="Calibri" w:hAnsi="Calibri"/>
        </w:rPr>
        <w:t xml:space="preserve"> informer Open.bj et solliciter son assistance (sauvegardes, journaux, preuves).</w:t>
      </w:r>
    </w:p>
    <w:p>
      <w:r>
        <w:rPr>
          <w:rFonts w:ascii="Calibri" w:hAnsi="Calibri"/>
          <w:i/>
        </w:rPr>
        <w:t>⚠️ La notification n'est pas exigée si l'incident est **sans risque pour les droits et libertés** des personnes (ex. données déjà chiffrées). L'évaluation du risque doit être documentée.</w:t>
      </w:r>
    </w:p>
    <w:p>
      <w:pPr>
        <w:pStyle w:val="Heading2"/>
      </w:pPr>
      <w:r>
        <w:rPr>
          <w:rFonts w:ascii="Calibri" w:hAnsi="Calibri"/>
          <w:color w:val="0B6623"/>
        </w:rPr>
        <w:t>6. Registre des incidents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Date détection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Catégorie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Gravité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Données affectées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Actions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Notification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Statut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JJ/MM/AAAA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Compromission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...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...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...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Non requise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Clôturé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...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</w:p>
        </w:tc>
        <w:tc>
          <w:tcPr>
            <w:tcW w:type="dxa" w:w="10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7. Rôles et responsabilités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Acteur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Équipe technique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Détection, contenement, éradication, rétablissement, rapport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Administrateurs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Signalement, blocage de comptes, information des utilisateurs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Référent RGPD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Évaluation du risque, notification autorité/personnes concernées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Direction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Communication externe, décisions de sanction, arbitrage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Hébergeur Open.bj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Assistance technique, journaux serveur, sauvegardes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8. Contacts d'urgence</w:t>
      </w:r>
    </w:p>
    <w:p>
      <w:pPr>
        <w:pStyle w:val="ListBullet"/>
      </w:pPr>
      <w:r>
        <w:rPr>
          <w:rFonts w:ascii="Calibri" w:hAnsi="Calibri"/>
          <w:b/>
        </w:rPr>
        <w:t>Équipe technique :</w:t>
      </w:r>
      <w:r>
        <w:rPr>
          <w:rFonts w:ascii="Calibri" w:hAnsi="Calibri"/>
        </w:rPr>
        <w:t xml:space="preserve"> [À COMPLÉTER]</w:t>
      </w:r>
    </w:p>
    <w:p>
      <w:pPr>
        <w:pStyle w:val="ListBullet"/>
      </w:pPr>
      <w:r>
        <w:rPr>
          <w:rFonts w:ascii="Calibri" w:hAnsi="Calibri"/>
          <w:b/>
        </w:rPr>
        <w:t>Référent RGPD :</w:t>
      </w:r>
      <w:r>
        <w:rPr>
          <w:rFonts w:ascii="Calibri" w:hAnsi="Calibri"/>
        </w:rPr>
        <w:t xml:space="preserve"> [À COMPLÉTER — e-mail]</w:t>
      </w:r>
    </w:p>
    <w:p>
      <w:pPr>
        <w:pStyle w:val="ListBullet"/>
      </w:pPr>
      <w:r>
        <w:rPr>
          <w:rFonts w:ascii="Calibri" w:hAnsi="Calibri"/>
          <w:b/>
        </w:rPr>
        <w:t>Support Open.bj :</w:t>
      </w:r>
      <w:r>
        <w:rPr>
          <w:rFonts w:ascii="Calibri" w:hAnsi="Calibri"/>
        </w:rPr>
        <w:t xml:space="preserve"> [À COMPLÉTER — téléphone / ticket]</w:t>
      </w:r>
    </w:p>
    <w:p>
      <w:pPr>
        <w:pStyle w:val="ListBullet"/>
      </w:pPr>
      <w:r>
        <w:rPr>
          <w:rFonts w:ascii="Calibri" w:hAnsi="Calibri"/>
          <w:b/>
        </w:rPr>
        <w:t>APDP (Bénin) :</w:t>
      </w:r>
      <w:r>
        <w:rPr>
          <w:rFonts w:ascii="Calibri" w:hAnsi="Calibri"/>
        </w:rPr>
        <w:t xml:space="preserve"> [À COMPLÉTER — coordonnées officielles]</w:t>
      </w:r>
    </w:p>
    <w:p>
      <w:r>
        <w:rPr>
          <w:rFonts w:ascii="Calibri" w:hAnsi="Calibri"/>
        </w:rPr>
        <w:t>*Procédure à valider par l'administration. À compléter : contacts, coordonnées APDP.*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