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1. Préambule</w:t>
      </w:r>
    </w:p>
    <w:p>
      <w:r>
        <w:rPr>
          <w:rFonts w:ascii="Calibri" w:hAnsi="Calibri"/>
        </w:rPr>
        <w:br/>
        <w:t xml:space="preserve">    La présente Politique de confidentialité (ci-après « la Politique ») s'applique à la</w:t>
        <w:br/>
        <w:t xml:space="preserve">    </w:t>
      </w:r>
      <w:r>
        <w:rPr>
          <w:rFonts w:ascii="Calibri" w:hAnsi="Calibri"/>
          <w:b/>
        </w:rPr>
        <w:t xml:space="preserve"> Plateforme ARMANI de Gestion des Infrastructures Communales </w:t>
      </w:r>
      <w:r>
        <w:rPr>
          <w:rFonts w:ascii="Calibri" w:hAnsi="Calibri"/>
        </w:rPr>
        <w:br/>
        <w:t xml:space="preserve">    (ci-après « la Plateforme »), accessible à l'adresse</w:t>
        <w:br/>
        <w:t xml:space="preserve">    </w:t>
      </w:r>
      <w:r>
        <w:rPr>
          <w:rFonts w:ascii="Calibri" w:hAnsi="Calibri"/>
          <w:b/>
        </w:rPr>
        <w:t xml:space="preserve"> http://localhost </w:t>
      </w:r>
      <w:r>
        <w:rPr>
          <w:rFonts w:ascii="Calibri" w:hAnsi="Calibri"/>
        </w:rPr>
        <w:t>.</w:t>
        <w:br/>
      </w:r>
    </w:p>
    <w:p>
      <w:r>
        <w:rPr>
          <w:rFonts w:ascii="Calibri" w:hAnsi="Calibri"/>
        </w:rPr>
        <w:br/>
        <w:t xml:space="preserve">    Elle est établie conformément au </w:t>
      </w:r>
      <w:r>
        <w:rPr>
          <w:rFonts w:ascii="Calibri" w:hAnsi="Calibri"/>
          <w:b/>
        </w:rPr>
        <w:t xml:space="preserve"> Livre V (articles 334 à 412) de la loi n°2017-20</w:t>
        <w:br/>
        <w:t xml:space="preserve">    du 20 avril 2018 portant Code du numérique en République du Bénin </w:t>
      </w:r>
      <w:r>
        <w:rPr>
          <w:rFonts w:ascii="Calibri" w:hAnsi="Calibri"/>
        </w:rPr>
        <w:t>, qui régit</w:t>
        <w:br/>
        <w:t xml:space="preserve">    la protection des données à caractère personnel des personnes physiques résidant</w:t>
        <w:br/>
        <w:t xml:space="preserve">    au Bénin et de celles dont les données sont traitées sur le territoire béninois.</w:t>
        <w:br/>
      </w:r>
    </w:p>
    <w:p>
      <w:r>
        <w:rPr>
          <w:rFonts w:ascii="Calibri" w:hAnsi="Calibri"/>
        </w:rPr>
        <w:br/>
        <w:t xml:space="preserve">    Toute utilisation de la Plateforme implique l'acceptation pleine et entière de la présente</w:t>
        <w:br/>
        <w:t xml:space="preserve">    Politique. Les utilisateurs mineurs de 18 ans ne sont pas destinataires de la Plateforme,</w:t>
        <w:br/>
        <w:t xml:space="preserve">    qui est réservée à un usage professionnel par des agents et administrateurs communaux adultes.</w:t>
        <w:br/>
      </w:r>
    </w:p>
    <w:p>
      <w:pPr>
        <w:pStyle w:val="Heading1"/>
      </w:pPr>
      <w:r>
        <w:rPr>
          <w:rFonts w:ascii="Calibri" w:hAnsi="Calibri"/>
          <w:color w:val="0B6623"/>
        </w:rPr>
        <w:t>2. Responsable du traitement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Dénomination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Siège social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Parakou, Département du Borgou, République du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Mission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Planification, suivi et gestion des infrastructures communautaires des 8 communes du Borgou (eau potable, assainissement, éducation, santé, marchés, culture)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Financement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DDC Suisse (Direction du Développement et de la Coopération) — Coopération Suisse au Développement, Contrat N°81074308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Référent protection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 xml:space="preserve">Administrateur général de la Plateforme — joignable via le </w:t>
            </w:r>
            <w:r>
              <w:rPr>
                <w:rFonts w:ascii="Calibri" w:hAnsi="Calibri"/>
                <w:sz w:val="18"/>
              </w:rPr>
              <w:t>formulaire de contact officiel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Contact APDP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Autorité de Protection des Données Personnelles du Bénin — Cotonou, République du Bénin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3. Données collectées et traitées</w:t>
      </w:r>
    </w:p>
    <w:p>
      <w:r>
        <w:rPr>
          <w:rFonts w:ascii="Calibri" w:hAnsi="Calibri"/>
        </w:rPr>
        <w:t>Nous collectons uniquement les données strictement nécessaires aux finalités décrites</w:t>
        <w:br/>
        <w:t>à l'article 4 ci-après (principe de minimisation — art. 340 Code du numérique).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Catégorie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Données spécifiques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Obligatoire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Protection technique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Identification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Nom, prénom, adresse e-mail, numéro de téléphone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Formulaire d'inscription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 xml:space="preserve">Numéro de téléphone chiffré </w:t>
            </w:r>
            <w:r>
              <w:rPr>
                <w:rFonts w:ascii="Calibri" w:hAnsi="Calibri"/>
                <w:i/>
                <w:sz w:val="18"/>
              </w:rPr>
              <w:t xml:space="preserve"> at-rest </w:t>
            </w:r>
            <w:r>
              <w:rPr>
                <w:rFonts w:ascii="Calibri" w:hAnsi="Calibri"/>
                <w:sz w:val="18"/>
              </w:rPr>
              <w:t xml:space="preserve"> (AES-256 via Laravel Encryption)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Authentification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 xml:space="preserve">Mot de passe (haché </w:t>
            </w:r>
            <w:r>
              <w:rPr>
                <w:rFonts w:ascii="Consolas" w:hAnsi="Consolas"/>
                <w:sz w:val="18"/>
              </w:rPr>
              <w:t xml:space="preserve"> bcrypt </w:t>
            </w:r>
            <w:r>
              <w:rPr>
                <w:rFonts w:ascii="Calibri" w:hAnsi="Calibri"/>
                <w:sz w:val="18"/>
              </w:rPr>
              <w:t>, jamais lisible), code MFA à 6 chiffres (haché, durée 10 min), jeton de réinitialisation (haché, durée 60 min), cookie de session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Inscription / connexion / demande de réinitialisation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Hachage irréversible — aucun accès en clair, même pour les administrateurs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Rattachement organisationnel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Commune de rattachement, rôle attribué (Agent, Admin Commune, Super Admin)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Saisie à l'inscription (commune) + attribution par un administrateur (rôle)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Le rôle ne peut être modifié que par un super-administrateur ; toute modification est journalisée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Données métier — infrastructures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Nom de l'enquêteur, coordonnées GPS (latitude, longitude, altitude, précision), photos (jusqu'à 4 par fiche), secteur d'activité, type d'infrastructure, nom, année de réalisation, bailleur, matériaux, état de fonctionnement, niveau de dégradation, mode de gestion, défectuosités, mesures proposées, observations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Formulaire de saisie par les agents collecteurs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Partiel (GPS et photos facultatifs)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Accès scopé par commune ; modifications tracées en audit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Données de planification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Activités prévues, responsables désignés, personnes associées, source de financement, montant, périodes cibles (2023–2030), statut de maintenance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Formulaires de planification mairie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Partiel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Accès scopé par commune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Journaux d'audit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Identifiant utilisateur, nom d'utilisateur, action effectuée, type et identifiant de l'entité concernée, valeurs avant/après modification (JSON), adresse IP, user-agent, méthode HTTP, URL, statut (succès/erreur), horodatage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Collecte automatique par le système pour toute opération sensible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Automatique (non modifiable par l'utilisateur)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Accessible uniquement aux super-administrateurs ; table en lecture seule pour tous les autres rôles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Cookies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Cookie de session technique (</w:t>
            </w:r>
            <w:r>
              <w:rPr>
                <w:rFonts w:ascii="Consolas" w:hAnsi="Consolas"/>
                <w:sz w:val="18"/>
              </w:rPr>
              <w:t xml:space="preserve"> laravel_session </w:t>
            </w:r>
            <w:r>
              <w:rPr>
                <w:rFonts w:ascii="Calibri" w:hAnsi="Calibri"/>
                <w:sz w:val="18"/>
              </w:rPr>
              <w:t>), jeton CSRF (</w:t>
            </w:r>
            <w:r>
              <w:rPr>
                <w:rFonts w:ascii="Consolas" w:hAnsi="Consolas"/>
                <w:sz w:val="18"/>
              </w:rPr>
              <w:t xml:space="preserve"> XSRF-TOKEN </w:t>
            </w:r>
            <w:r>
              <w:rPr>
                <w:rFonts w:ascii="Calibri" w:hAnsi="Calibri"/>
                <w:sz w:val="18"/>
              </w:rPr>
              <w:t>), cookie de connexion persistante optionnel (</w:t>
            </w:r>
            <w:r>
              <w:rPr>
                <w:rFonts w:ascii="Consolas" w:hAnsi="Consolas"/>
                <w:sz w:val="18"/>
              </w:rPr>
              <w:t xml:space="preserve"> remember_web_* 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Navigation sur la Plateforme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Cookie de session : oui. Cookie persistant : uniquement si l'utilisateur coche « Se souvenir de moi »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 xml:space="preserve">Attributs </w:t>
            </w:r>
            <w:r>
              <w:rPr>
                <w:rFonts w:ascii="Consolas" w:hAnsi="Consolas"/>
                <w:sz w:val="18"/>
              </w:rPr>
              <w:t xml:space="preserve"> HttpOnly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SameSite=Lax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Secure </w:t>
            </w:r>
            <w:r>
              <w:rPr>
                <w:rFonts w:ascii="Calibri" w:hAnsi="Calibri"/>
                <w:sz w:val="18"/>
              </w:rPr>
              <w:t xml:space="preserve"> (production). Aucun cookie publicitaire ni de traçage tiers.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4. Finalités du traitement et bases légales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Finalité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Données utilisées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Base légale (Code du numérique)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Conservation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Gestion des comptes utilisateurs : inscription, validation, authentification, gestion du cycle de vie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Identification, authentification, rattachement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Consentement (art. 339) + exécution du service demandé (art. 339 al. 2)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Durée d'activité + 3 ans après dernière connexion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Sécurisation des connexions administrateurs par authentification multi-facteurs (MFA)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E-mail, code MFA haché, IP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Intérêt légitime — sécurité du SI (art. 339 al. 3)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Code : 10 minutes. Journal MFA : 12 mois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Collecte, planification et suivi des infrastructures communales du Borgou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Données métier, photos, GPS, planifications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Mission d'intérêt public (art. 339 al. 4) — financement DDC Suisse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Pérenne (intérêt public) ; anonymisation du nom enquêteur sur demande après 5 ans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Traitement des demandes de contact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Nom, e-mail, message, IP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Consentement (art. 339)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12 mois après dernière correspondance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Traçabilité des actions et détection des incidents de sécurité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Journaux d'audit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Obligation légale + intérêt légitime sécurité (art. 339 al. 3 et 5)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12 mois actifs ; archives jusqu'à 36 mois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Réinitialisation du mot de passe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E-mail, jeton haché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Exécution du service demandé (art. 339 al. 2)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60 minutes puis suppression automatique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Connexion via Google OAuth (optionnelle)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Adresse e-mail uniquement (correspondance avec un compte existant)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Consentement (art. 339)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Non persisté au-delà de la session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5. Destinataires des données</w:t>
      </w:r>
    </w:p>
    <w:p>
      <w:r>
        <w:rPr>
          <w:rFonts w:ascii="Calibri" w:hAnsi="Calibri"/>
        </w:rPr>
        <w:t>L'accès aux données est strictement limité selon le rôle de chaque utilisateur</w:t>
        <w:br/>
        <w:t>(principe du moindre privilège — art. 352 Code du numérique)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Destinataire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Données accessibles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Cadre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Agent collecteur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Ses propres fiches d'infrastructure et planifications ; statistiques agrégées de sa commune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Accès scopé à sa commune uniquement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Administrateur communal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Toutes les données de sa commune (infrastructures, planifications, liste des agents de sa commune) ; statut d'approbation des agents de sa commune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Accès scopé à sa commune uniquement ; liste des agents masque les mots de passe et codes MFA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Super-administrateur ARMANI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Toutes les données de toutes les communes ; journaux d'audit complets ; gestion de tous les utilisateurs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Accès complet avec MFA obligatoire ; toute action journalisée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Public (non connecté)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Statistiques agrégées et anonymisées sur les infrastructures publiées — aucune donnée personnelle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Lecture seule, données dépersonnalisées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Hébergeur applicatif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Accès technique aux serveurs et sauvegardes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Sous-traitant lié par un contrat de traitement de données (DPA) incluant clauses de confidentialité et de sécurité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Fournisseur SMTP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Adresse e-mail destinataire et corps du message pour les e-mails transactionnels (MFA, réinitialisation, notifications d'approbation)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Données minimales transmises ; TLS imposé</w:t>
            </w:r>
          </w:p>
        </w:tc>
      </w:tr>
    </w:tbl>
    <w:p/>
    <w:p>
      <w:r>
        <w:rPr>
          <w:rFonts w:ascii="Calibri" w:hAnsi="Calibri"/>
          <w:b/>
        </w:rPr>
        <w:t xml:space="preserve"> Aucune donnée n'est revendue, louée, échangée ni transmise à des tiers</w:t>
        <w:br/>
        <w:t xml:space="preserve">à des fins commerciales, publicitaires ou de profilage. </w:t>
      </w:r>
    </w:p>
    <w:p>
      <w:pPr>
        <w:pStyle w:val="Heading1"/>
      </w:pPr>
      <w:r>
        <w:rPr>
          <w:rFonts w:ascii="Calibri" w:hAnsi="Calibri"/>
          <w:color w:val="0B6623"/>
        </w:rPr>
        <w:t>6. Transferts hors de la République du Bénin</w:t>
      </w:r>
    </w:p>
    <w:p>
      <w:r>
        <w:rPr>
          <w:rFonts w:ascii="Calibri" w:hAnsi="Calibri"/>
        </w:rPr>
        <w:t>La Plateforme fait appel à des services tiers dont les serveurs peuvent être situés</w:t>
        <w:br/>
        <w:t>hors du territoire béninois. Conformément aux articles 398 à 401 du Code du numérique,</w:t>
        <w:br/>
        <w:t>des garanties appropriées sont exigées pour tout transfert transfrontalier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Service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Données transférées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Localisation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>Garanties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Hébergeur applicatif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Toutes les données de la Plateforme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À préciser selon le contrat d'hébergement en vigueur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Contrat DPA — clauses de confidentialité, de sécurité et de restitution des données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Google reCAPTCHA v3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Score anti-bot (données comportementales anonymisées)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Serveurs Google (international)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Politique de confidentialité Google — usage limité à la détection de bots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Google OAuth 2.0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Adresse e-mail uniquement (correspondance de compte)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Serveurs Google (international)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Politique de confidentialité Google ; aucun token OAuth persisté au-delà de la session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OpenStreetMap / Nominatim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Aucune donnée personnelle — requêtes de géolocalisation d'adresses anonymes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Serveurs OSM (international)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Service public libre ; politique d'utilisation équitable OSM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sz w:val="18"/>
              </w:rPr>
              <w:t xml:space="preserve"> DDC Suisse (bailleur de fonds) 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Rapports agrégés et anonymisés sur l'avancement du programme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Suisse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sz w:val="18"/>
              </w:rPr>
              <w:t>Accord de financement incluant clauses de protection des données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7. Durées de conservation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Donnée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Durée de conservation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Sort à l'échéance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Compte utilisateur actif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Toute la durée d'utilisation + 3 ans après la dernière connexion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Anonymisation (nom et prénom remplacés par des pseudonymes, e-mail et téléphone supprimés)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Compte refusé ou désactivé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1 an après la décision de refus ou de désactivation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Anonymisation complète des données personnelles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Données métier (infrastructures et planifications)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Conservation pérenne (intérêt public et patrimonial)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Anonymisation du nom d'enquêteur sur demande motivée après 5 ans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Journaux d'audit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12 mois en accès actif ; archivage jusqu'à 36 mois (sur incident)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Suppression ou anonymisation définitive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Codes MFA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10 minutes ou jusqu'à utilisation (la plus courte de ces deux durées)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 xml:space="preserve">Invalidation automatique (champ </w:t>
            </w:r>
            <w:r>
              <w:rPr>
                <w:rFonts w:ascii="Consolas" w:hAnsi="Consolas"/>
                <w:sz w:val="18"/>
              </w:rPr>
              <w:t xml:space="preserve"> consumed_at </w:t>
            </w:r>
            <w:r>
              <w:rPr>
                <w:rFonts w:ascii="Calibri" w:hAnsi="Calibri"/>
                <w:sz w:val="18"/>
              </w:rPr>
              <w:t xml:space="preserve"> renseigné)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Jetons de réinitialisation de mot de passe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60 minutes à compter de l'émission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Suppression automatique par le système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Données de contact (formulaire)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12 mois après la dernière correspondance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Suppression manuelle par l'administrateur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Token Google OAuth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Durée de la session uniquement — non persisté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Supprimé à la déconnexion ou fermeture de session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8. Sécurité des données</w:t>
      </w:r>
    </w:p>
    <w:p>
      <w:r>
        <w:rPr>
          <w:rFonts w:ascii="Calibri" w:hAnsi="Calibri"/>
        </w:rPr>
        <w:t>L'ARMANI met en œuvre des mesures techniques et organisationnelles appropriées</w:t>
        <w:br/>
        <w:t>pour protéger vos données contre tout accès non autorisé, toute altération, divulgation</w:t>
        <w:br/>
        <w:t>ou destruction. Le détail complet est défini dans la politique de sécurité interne de la Plateforme.</w:t>
      </w:r>
    </w:p>
    <w:p>
      <w:pPr>
        <w:pStyle w:val="Heading2"/>
      </w:pPr>
      <w:r>
        <w:rPr>
          <w:rFonts w:ascii="Calibri" w:hAnsi="Calibri"/>
          <w:color w:val="0B6623"/>
        </w:rPr>
        <w:t>Principales mesures en vigueur</w:t>
      </w:r>
    </w:p>
    <w:p>
      <w:pPr>
        <w:pStyle w:val="ListBullet"/>
      </w:pPr>
      <w:r>
        <w:rPr>
          <w:rFonts w:ascii="Calibri" w:hAnsi="Calibri"/>
          <w:b/>
        </w:rPr>
        <w:t xml:space="preserve"> Transport chiffré : </w:t>
      </w:r>
      <w:r>
        <w:rPr>
          <w:rFonts w:ascii="Calibri" w:hAnsi="Calibri"/>
        </w:rPr>
        <w:t xml:space="preserve"> HTTPS/TLS forcé en production, HSTS (1 an, includeSubDomains, preload) — toutes les communications sont chiffrées en transit ;</w:t>
      </w:r>
    </w:p>
    <w:p>
      <w:pPr>
        <w:pStyle w:val="ListBullet"/>
      </w:pPr>
      <w:r>
        <w:rPr>
          <w:rFonts w:ascii="Calibri" w:hAnsi="Calibri"/>
          <w:b/>
        </w:rPr>
        <w:t xml:space="preserve"> En-têtes HTTP de sécurité : </w:t>
      </w:r>
      <w:r>
        <w:rPr>
          <w:rFonts w:ascii="Consolas" w:hAnsi="Consolas"/>
          <w:sz w:val="18"/>
        </w:rPr>
        <w:t xml:space="preserve"> X-Frame-Options </w:t>
      </w:r>
      <w:r>
        <w:rPr>
          <w:rFonts w:ascii="Calibri" w:hAnsi="Calibri"/>
        </w:rPr>
        <w:t xml:space="preserve"> (anti-clickjacking), </w:t>
      </w:r>
      <w:r>
        <w:rPr>
          <w:rFonts w:ascii="Consolas" w:hAnsi="Consolas"/>
          <w:sz w:val="18"/>
        </w:rPr>
        <w:t xml:space="preserve"> X-Content-Type-Options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Referrer-Policy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Permissions-Policy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Content-Security-Policy 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 xml:space="preserve"> Mots de passe : </w:t>
      </w:r>
      <w:r>
        <w:rPr>
          <w:rFonts w:ascii="Calibri" w:hAnsi="Calibri"/>
        </w:rPr>
        <w:t xml:space="preserve"> hachage </w:t>
      </w:r>
      <w:r>
        <w:rPr>
          <w:rFonts w:ascii="Consolas" w:hAnsi="Consolas"/>
          <w:sz w:val="18"/>
        </w:rPr>
        <w:t xml:space="preserve"> bcrypt </w:t>
      </w:r>
      <w:r>
        <w:rPr>
          <w:rFonts w:ascii="Calibri" w:hAnsi="Calibri"/>
        </w:rPr>
        <w:t xml:space="preserve"> irréversible — jamais stockés ni transmis en clair ;</w:t>
      </w:r>
    </w:p>
    <w:p>
      <w:pPr>
        <w:pStyle w:val="ListBullet"/>
      </w:pPr>
      <w:r>
        <w:rPr>
          <w:rFonts w:ascii="Calibri" w:hAnsi="Calibri"/>
          <w:b/>
        </w:rPr>
        <w:t xml:space="preserve"> Chiffrement </w:t>
      </w:r>
      <w:r>
        <w:rPr>
          <w:rFonts w:ascii="Calibri" w:hAnsi="Calibri"/>
          <w:b/>
        </w:rPr>
        <w:t xml:space="preserve"> at-rest </w:t>
      </w:r>
      <w:r>
        <w:rPr>
          <w:rFonts w:ascii="Calibri" w:hAnsi="Calibri"/>
          <w:b/>
        </w:rPr>
        <w:t xml:space="preserve"> : </w:t>
      </w:r>
      <w:r>
        <w:rPr>
          <w:rFonts w:ascii="Calibri" w:hAnsi="Calibri"/>
        </w:rPr>
        <w:t xml:space="preserve"> numéro de téléphone et codes d'accès commune chiffrés en base de données (AES-256 via la clé </w:t>
      </w:r>
      <w:r>
        <w:rPr>
          <w:rFonts w:ascii="Consolas" w:hAnsi="Consolas"/>
          <w:sz w:val="18"/>
        </w:rPr>
        <w:t xml:space="preserve"> APP_KEY </w:t>
      </w:r>
      <w:r>
        <w:rPr>
          <w:rFonts w:ascii="Calibri" w:hAnsi="Calibri"/>
        </w:rPr>
        <w:t xml:space="preserve"> applicative) ;</w:t>
      </w:r>
    </w:p>
    <w:p>
      <w:pPr>
        <w:pStyle w:val="ListBullet"/>
      </w:pPr>
      <w:r>
        <w:rPr>
          <w:rFonts w:ascii="Calibri" w:hAnsi="Calibri"/>
          <w:b/>
        </w:rPr>
        <w:t xml:space="preserve"> Authentification multi-facteurs : </w:t>
      </w:r>
      <w:r>
        <w:rPr>
          <w:rFonts w:ascii="Calibri" w:hAnsi="Calibri"/>
        </w:rPr>
        <w:t xml:space="preserve"> MFA par e-mail obligatoire pour tous les comptes administrateurs à chaque ouverture de session ;</w:t>
      </w:r>
    </w:p>
    <w:p>
      <w:pPr>
        <w:pStyle w:val="ListBullet"/>
      </w:pPr>
      <w:r>
        <w:rPr>
          <w:rFonts w:ascii="Calibri" w:hAnsi="Calibri"/>
          <w:b/>
        </w:rPr>
        <w:t xml:space="preserve"> Sessions sécurisées : </w:t>
      </w:r>
      <w:r>
        <w:rPr>
          <w:rFonts w:ascii="Calibri" w:hAnsi="Calibri"/>
        </w:rPr>
        <w:t xml:space="preserve"> cookies </w:t>
      </w:r>
      <w:r>
        <w:rPr>
          <w:rFonts w:ascii="Consolas" w:hAnsi="Consolas"/>
          <w:sz w:val="18"/>
        </w:rPr>
        <w:t xml:space="preserve"> HttpOnly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Secure 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18"/>
        </w:rPr>
        <w:t xml:space="preserve"> SameSite=Lax </w:t>
      </w:r>
      <w:r>
        <w:rPr>
          <w:rFonts w:ascii="Calibri" w:hAnsi="Calibri"/>
        </w:rPr>
        <w:t xml:space="preserve"> ; identifiant de session régénéré à la connexion ;</w:t>
      </w:r>
    </w:p>
    <w:p>
      <w:pPr>
        <w:pStyle w:val="ListBullet"/>
      </w:pPr>
      <w:r>
        <w:rPr>
          <w:rFonts w:ascii="Calibri" w:hAnsi="Calibri"/>
          <w:b/>
        </w:rPr>
        <w:t xml:space="preserve"> Protection anti-injection : </w:t>
      </w:r>
      <w:r>
        <w:rPr>
          <w:rFonts w:ascii="Calibri" w:hAnsi="Calibri"/>
        </w:rPr>
        <w:t xml:space="preserve"> ORM Eloquent (requêtes paramétrées), validation systématique via </w:t>
      </w:r>
      <w:r>
        <w:rPr>
          <w:rFonts w:ascii="Consolas" w:hAnsi="Consolas"/>
          <w:sz w:val="18"/>
        </w:rPr>
        <w:t xml:space="preserve"> FormRequest </w:t>
      </w:r>
      <w:r>
        <w:rPr>
          <w:rFonts w:ascii="Calibri" w:hAnsi="Calibri"/>
        </w:rPr>
        <w:t>, échappement Blade activé par défaut ;</w:t>
      </w:r>
    </w:p>
    <w:p>
      <w:pPr>
        <w:pStyle w:val="ListBullet"/>
      </w:pPr>
      <w:r>
        <w:rPr>
          <w:rFonts w:ascii="Calibri" w:hAnsi="Calibri"/>
          <w:b/>
        </w:rPr>
        <w:t xml:space="preserve"> Protection CSRF : </w:t>
      </w:r>
      <w:r>
        <w:rPr>
          <w:rFonts w:ascii="Calibri" w:hAnsi="Calibri"/>
        </w:rPr>
        <w:t xml:space="preserve"> jeton vérifié sur toutes les requêtes mutatives ;</w:t>
      </w:r>
    </w:p>
    <w:p>
      <w:pPr>
        <w:pStyle w:val="ListBullet"/>
      </w:pPr>
      <w:r>
        <w:rPr>
          <w:rFonts w:ascii="Calibri" w:hAnsi="Calibri"/>
          <w:b/>
        </w:rPr>
        <w:t xml:space="preserve"> Rate-limiting : </w:t>
      </w:r>
      <w:r>
        <w:rPr>
          <w:rFonts w:ascii="Calibri" w:hAnsi="Calibri"/>
        </w:rPr>
        <w:t xml:space="preserve"> limitation des tentatives sur la connexion, l'inscription, la réinitialisation, le MFA et le formulaire de contact ;</w:t>
      </w:r>
    </w:p>
    <w:p>
      <w:pPr>
        <w:pStyle w:val="ListBullet"/>
      </w:pPr>
      <w:r>
        <w:rPr>
          <w:rFonts w:ascii="Calibri" w:hAnsi="Calibri"/>
          <w:b/>
        </w:rPr>
        <w:t xml:space="preserve"> Audit complet : </w:t>
      </w:r>
      <w:r>
        <w:rPr>
          <w:rFonts w:ascii="Calibri" w:hAnsi="Calibri"/>
        </w:rPr>
        <w:t xml:space="preserve"> toutes les opérations sensibles sont journalisées avec l'IP, l'horodatage et les valeurs avant/après modification ;</w:t>
      </w:r>
    </w:p>
    <w:p>
      <w:pPr>
        <w:pStyle w:val="ListBullet"/>
      </w:pPr>
      <w:r>
        <w:rPr>
          <w:rFonts w:ascii="Calibri" w:hAnsi="Calibri"/>
          <w:b/>
        </w:rPr>
        <w:t xml:space="preserve"> Sauvegardes : </w:t>
      </w:r>
      <w:r>
        <w:rPr>
          <w:rFonts w:ascii="Calibri" w:hAnsi="Calibri"/>
        </w:rPr>
        <w:t xml:space="preserve"> exports réguliers de la base de données, conservation 30 jours, copie hors site, tests de restauration semestriels.</w:t>
      </w:r>
    </w:p>
    <w:p>
      <w:pPr>
        <w:pStyle w:val="Heading1"/>
      </w:pPr>
      <w:r>
        <w:rPr>
          <w:rFonts w:ascii="Calibri" w:hAnsi="Calibri"/>
          <w:color w:val="0B6623"/>
        </w:rPr>
        <w:t>9. Droits des personnes concernées</w:t>
      </w:r>
    </w:p>
    <w:p>
      <w:r>
        <w:rPr>
          <w:rFonts w:ascii="Calibri" w:hAnsi="Calibri"/>
        </w:rPr>
        <w:t xml:space="preserve">Conformément aux </w:t>
      </w:r>
      <w:r>
        <w:rPr>
          <w:rFonts w:ascii="Calibri" w:hAnsi="Calibri"/>
          <w:b/>
        </w:rPr>
        <w:t xml:space="preserve"> articles 392 à 411 du Code du numérique du Bénin </w:t>
      </w:r>
      <w:r>
        <w:rPr>
          <w:rFonts w:ascii="Calibri" w:hAnsi="Calibri"/>
        </w:rPr>
        <w:t>,</w:t>
        <w:br/>
        <w:t>vous disposez des droits suivants sur vos données personnelles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Droit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Ce que vous pouvez demander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Limites éventuelles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d'accès </w:t>
            </w:r>
            <w:r>
              <w:rPr>
                <w:rFonts w:ascii="Calibri" w:hAnsi="Calibri"/>
                <w:sz w:val="18"/>
              </w:rPr>
              <w:t xml:space="preserve"> (art. 395)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Obtenir une copie de l'ensemble de vos données personnelles détenues par l'ARMANI, ainsi que des informations sur les traitements les concernant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Vérification préalable de votre identité requise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de rectification </w:t>
            </w:r>
            <w:r>
              <w:rPr>
                <w:rFonts w:ascii="Calibri" w:hAnsi="Calibri"/>
                <w:sz w:val="18"/>
              </w:rPr>
              <w:t xml:space="preserve"> (art. 396)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Faire corriger toute donnée inexacte ou incomplète vous concernant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Données attestées par un tiers (ex. : commune assignée par un admin) : modification via la voie hiérarchique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à l'effacement </w:t>
            </w:r>
            <w:r>
              <w:rPr>
                <w:rFonts w:ascii="Calibri" w:hAnsi="Calibri"/>
                <w:sz w:val="18"/>
              </w:rPr>
              <w:t xml:space="preserve"> (art. 397)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Demander la suppression de vos données personnelles lorsque le traitement n'est plus justifié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Inapplicable aux journaux d'audit (obligation légale) et aux données d'infrastructure (intérêt public pérenne) — anonymisation proposée en substitution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d'opposition </w:t>
            </w:r>
            <w:r>
              <w:rPr>
                <w:rFonts w:ascii="Calibri" w:hAnsi="Calibri"/>
                <w:sz w:val="18"/>
              </w:rPr>
              <w:t xml:space="preserve"> (art. 398)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Vous opposer à un traitement fondé sur l'intérêt légitime, pour des motifs tenant à votre situation particulière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L'ARMANI peut refuser si elle démontre des motifs légitimes impérieux prévalant sur vos intérêts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à la limitation </w:t>
            </w:r>
            <w:r>
              <w:rPr>
                <w:rFonts w:ascii="Calibri" w:hAnsi="Calibri"/>
                <w:sz w:val="18"/>
              </w:rPr>
              <w:t xml:space="preserve"> (art. 399)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Demander la suspension temporaire d'un traitement, par exemple pendant l'instruction d'une contestation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Les données sont conservées mais non utilisées pendant la période de limitation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à la portabilité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Recevoir vos données dans un format structuré et lisible par machine (JSON / CSV), pour les données fournies sur base du consentement ou d'un contrat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Concerne principalement vos données d'identification et vos fiches d'infrastructure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 xml:space="preserve"> Droit de réclamation auprès de l'APDP 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Introduire une réclamation auprès de l'Autorité de Protection des Données Personnelles du Bénin si vous estimez que vos droits ne sont pas respectés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Nous vous invitons à nous contacter préalablement pour tenter de résoudre la situation à l'amiable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10. Comment exercer vos droits ?</w:t>
      </w:r>
    </w:p>
    <w:p>
      <w:r>
        <w:rPr>
          <w:rFonts w:ascii="Calibri" w:hAnsi="Calibri"/>
        </w:rPr>
        <w:t>Pour exercer l'un des droits listés ci-dessus :</w:t>
      </w:r>
    </w:p>
    <w:p>
      <w:pPr>
        <w:pStyle w:val="ListNumber"/>
      </w:pPr>
      <w:r>
        <w:rPr>
          <w:rFonts w:ascii="Calibri" w:hAnsi="Calibri"/>
        </w:rPr>
        <w:t xml:space="preserve">Adressez votre demande via le </w:t>
      </w:r>
      <w:r>
        <w:rPr>
          <w:rFonts w:ascii="Calibri" w:hAnsi="Calibri"/>
          <w:b/>
        </w:rPr>
        <w:t xml:space="preserve"> formulaire de contact officiel </w:t>
      </w:r>
      <w:r>
        <w:rPr>
          <w:rFonts w:ascii="Calibri" w:hAnsi="Calibri"/>
        </w:rPr>
        <w:t xml:space="preserve"> en précisant :</w:t>
        <w:br/>
        <w:t xml:space="preserve">        </w:t>
      </w:r>
      <w:r>
        <w:t xml:space="preserve"> • </w:t>
      </w:r>
      <w:r>
        <w:rPr>
          <w:rFonts w:ascii="Calibri" w:hAnsi="Calibri"/>
        </w:rPr>
        <w:t>votre identité complète (nom, prénom, adresse e-mail de votre compte) ;</w:t>
      </w:r>
      <w:r>
        <w:t xml:space="preserve"> • </w:t>
      </w:r>
      <w:r>
        <w:rPr>
          <w:rFonts w:ascii="Calibri" w:hAnsi="Calibri"/>
        </w:rPr>
        <w:t>le droit que vous souhaitez exercer ;</w:t>
      </w:r>
      <w:r>
        <w:t xml:space="preserve"> • </w:t>
      </w:r>
      <w:r>
        <w:rPr>
          <w:rFonts w:ascii="Calibri" w:hAnsi="Calibri"/>
        </w:rPr>
        <w:t>tout élément permettant d'identifier les données concernées.</w:t>
      </w:r>
    </w:p>
    <w:p>
      <w:pPr>
        <w:pStyle w:val="ListNumber"/>
      </w:pPr>
      <w:r>
        <w:rPr>
          <w:rFonts w:ascii="Calibri" w:hAnsi="Calibri"/>
        </w:rPr>
        <w:t>Une vérification de votre identité pourra être requise avant la communication de données sensibles.</w:t>
      </w:r>
    </w:p>
    <w:p>
      <w:pPr>
        <w:pStyle w:val="ListNumber"/>
      </w:pPr>
      <w:r>
        <w:rPr>
          <w:rFonts w:ascii="Calibri" w:hAnsi="Calibri"/>
        </w:rPr>
        <w:t>Vous recevrez une réponse dans un délai d'</w:t>
      </w:r>
      <w:r>
        <w:rPr>
          <w:rFonts w:ascii="Calibri" w:hAnsi="Calibri"/>
          <w:b/>
        </w:rPr>
        <w:t xml:space="preserve"> un (1) mois </w:t>
      </w:r>
      <w:r>
        <w:rPr>
          <w:rFonts w:ascii="Calibri" w:hAnsi="Calibri"/>
        </w:rPr>
        <w:t xml:space="preserve"> à compter de la réception de votre demande complète. Ce délai peut être prolongé de deux mois supplémentaires pour les demandes complexes, avec information préalable.</w:t>
      </w:r>
    </w:p>
    <w:p>
      <w:pPr>
        <w:pStyle w:val="ListNumber"/>
      </w:pPr>
      <w:r>
        <w:rPr>
          <w:rFonts w:ascii="Calibri" w:hAnsi="Calibri"/>
        </w:rPr>
        <w:t xml:space="preserve">L'exercice de vos droits est </w:t>
      </w:r>
      <w:r>
        <w:rPr>
          <w:rFonts w:ascii="Calibri" w:hAnsi="Calibri"/>
          <w:b/>
        </w:rPr>
        <w:t xml:space="preserve"> gratuit </w:t>
      </w:r>
      <w:r>
        <w:rPr>
          <w:rFonts w:ascii="Calibri" w:hAnsi="Calibri"/>
        </w:rPr>
        <w:t>. En cas de demandes manifestement infondées ou excessives (notamment répétitives), l'ARMANI se réserve le droit de facturer un coût raisonnable ou de refuser de donner suite.</w:t>
      </w:r>
    </w:p>
    <w:p>
      <w:r>
        <w:rPr>
          <w:rFonts w:ascii="Calibri" w:hAnsi="Calibri"/>
        </w:rPr>
        <w:t>Si vous estimez que la réponse apportée est insatisfaisante, vous pouvez introduire une</w:t>
        <w:br/>
        <w:t>réclamation auprès de l'</w:t>
      </w:r>
      <w:r>
        <w:rPr>
          <w:rFonts w:ascii="Calibri" w:hAnsi="Calibri"/>
          <w:b/>
        </w:rPr>
        <w:t xml:space="preserve"> APDP (Autorité de Protection des Données Personnelles du Bénin) </w:t>
      </w:r>
      <w:r>
        <w:rPr>
          <w:rFonts w:ascii="Calibri" w:hAnsi="Calibri"/>
        </w:rPr>
        <w:t>.</w:t>
      </w:r>
    </w:p>
    <w:p>
      <w:pPr>
        <w:pStyle w:val="Heading1"/>
      </w:pPr>
      <w:r>
        <w:rPr>
          <w:rFonts w:ascii="Calibri" w:hAnsi="Calibri"/>
          <w:color w:val="0B6623"/>
        </w:rPr>
        <w:t>11. Cookies et traceurs</w:t>
      </w:r>
    </w:p>
    <w:p>
      <w:r>
        <w:rPr>
          <w:rFonts w:ascii="Calibri" w:hAnsi="Calibri"/>
        </w:rPr>
        <w:t xml:space="preserve">La Plateforme utilise uniquement des </w:t>
      </w:r>
      <w:r>
        <w:rPr>
          <w:rFonts w:ascii="Calibri" w:hAnsi="Calibri"/>
          <w:b/>
        </w:rPr>
        <w:t xml:space="preserve"> cookies techniques strictement nécessaires </w:t>
      </w:r>
      <w:r>
        <w:rPr>
          <w:rFonts w:ascii="Calibri" w:hAnsi="Calibri"/>
        </w:rPr>
        <w:br/>
        <w:t>à son fonctionnement. Aucun cookie publicitaire, de mesure d'audience, de profilage ou de</w:t>
        <w:br/>
        <w:t>traçage tiers n'est déposé.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Nom du cookie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Finalité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Durée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Obligatoire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Tiers</w:t>
            </w:r>
          </w:p>
        </w:tc>
      </w:tr>
      <w:tr>
        <w:tc>
          <w:tcPr>
            <w:tcW w:type="dxa" w:w="1930"/>
          </w:tcPr>
          <w:p>
            <w:r>
              <w:rPr>
                <w:rFonts w:ascii="Consolas" w:hAnsi="Consolas"/>
                <w:sz w:val="18"/>
              </w:rPr>
              <w:t xml:space="preserve"> laravel_session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Maintien de la session authentifiée entre les pages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Fin de session navigateur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</w:tr>
      <w:tr>
        <w:tc>
          <w:tcPr>
            <w:tcW w:type="dxa" w:w="1930"/>
          </w:tcPr>
          <w:p>
            <w:r>
              <w:rPr>
                <w:rFonts w:ascii="Consolas" w:hAnsi="Consolas"/>
                <w:sz w:val="18"/>
              </w:rPr>
              <w:t xml:space="preserve"> XSRF-TOKEN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Protection contre les attaques CSRF (falsification de requête)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Fin de session navigateur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</w:tr>
      <w:tr>
        <w:tc>
          <w:tcPr>
            <w:tcW w:type="dxa" w:w="1930"/>
          </w:tcPr>
          <w:p>
            <w:r>
              <w:rPr>
                <w:rFonts w:ascii="Consolas" w:hAnsi="Consolas"/>
                <w:sz w:val="18"/>
              </w:rPr>
              <w:t xml:space="preserve"> remember_web_*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Connexion persistante, uniquement si l'utilisateur coche « Se souvenir de moi »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5 ans (ou jusqu'à déconnexion)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Non — opt-in explicite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</w:tr>
    </w:tbl>
    <w:p/>
    <w:p>
      <w:r>
        <w:rPr>
          <w:rFonts w:ascii="Calibri" w:hAnsi="Calibri"/>
        </w:rPr>
        <w:t xml:space="preserve">Les cookies sont configurés avec les attributs de sécurité </w:t>
      </w:r>
      <w:r>
        <w:rPr>
          <w:rFonts w:ascii="Consolas" w:hAnsi="Consolas"/>
          <w:sz w:val="18"/>
        </w:rPr>
        <w:t xml:space="preserve"> HttpOnly </w:t>
      </w:r>
      <w:r>
        <w:rPr>
          <w:rFonts w:ascii="Calibri" w:hAnsi="Calibri"/>
        </w:rPr>
        <w:br/>
        <w:t xml:space="preserve">(inaccessibles au JavaScript), </w:t>
      </w:r>
      <w:r>
        <w:rPr>
          <w:rFonts w:ascii="Consolas" w:hAnsi="Consolas"/>
          <w:sz w:val="18"/>
        </w:rPr>
        <w:t xml:space="preserve"> SameSite=Lax </w:t>
      </w:r>
      <w:r>
        <w:rPr>
          <w:rFonts w:ascii="Calibri" w:hAnsi="Calibri"/>
        </w:rPr>
        <w:t xml:space="preserve"> (protection anti-CSRF)</w:t>
        <w:br/>
        <w:t xml:space="preserve">et </w:t>
      </w:r>
      <w:r>
        <w:rPr>
          <w:rFonts w:ascii="Consolas" w:hAnsi="Consolas"/>
          <w:sz w:val="18"/>
        </w:rPr>
        <w:t xml:space="preserve"> Secure </w:t>
      </w:r>
      <w:r>
        <w:rPr>
          <w:rFonts w:ascii="Calibri" w:hAnsi="Calibri"/>
        </w:rPr>
        <w:t xml:space="preserve"> en production (transmission HTTPS uniquement).</w:t>
      </w:r>
    </w:p>
    <w:p>
      <w:pPr>
        <w:pStyle w:val="Heading1"/>
      </w:pPr>
      <w:r>
        <w:rPr>
          <w:rFonts w:ascii="Calibri" w:hAnsi="Calibri"/>
          <w:color w:val="0B6623"/>
        </w:rPr>
        <w:t>12. Protection des mineurs</w:t>
      </w:r>
    </w:p>
    <w:p>
      <w:r>
        <w:rPr>
          <w:rFonts w:ascii="Calibri" w:hAnsi="Calibri"/>
        </w:rPr>
        <w:t>La Plateforme est exclusivement destinée à un usage professionnel par des adultes</w:t>
        <w:br/>
        <w:t>(agents communaux, administrateurs) dans le cadre de leurs fonctions.</w:t>
        <w:br/>
        <w:t xml:space="preserve">Elle </w:t>
      </w:r>
      <w:r>
        <w:rPr>
          <w:rFonts w:ascii="Calibri" w:hAnsi="Calibri"/>
          <w:b/>
        </w:rPr>
        <w:t xml:space="preserve"> n'est pas destinée aux personnes âgées de moins de 18 ans </w:t>
      </w:r>
      <w:r>
        <w:rPr>
          <w:rFonts w:ascii="Calibri" w:hAnsi="Calibri"/>
        </w:rPr>
        <w:t xml:space="preserve"> et</w:t>
        <w:br/>
        <w:t>ne collecte pas sciemment de données concernant des mineurs.</w:t>
        <w:br/>
        <w:t>Toute inscription par un mineur sera invalidée dès qu'elle sera portée à la connaissance</w:t>
        <w:br/>
        <w:t>de l'ARMANI.</w:t>
      </w:r>
    </w:p>
    <w:p>
      <w:pPr>
        <w:pStyle w:val="Heading1"/>
      </w:pPr>
      <w:r>
        <w:rPr>
          <w:rFonts w:ascii="Calibri" w:hAnsi="Calibri"/>
          <w:color w:val="0B6623"/>
        </w:rPr>
        <w:t>13. Violations de données personnelles</w:t>
      </w:r>
    </w:p>
    <w:p>
      <w:r>
        <w:rPr>
          <w:rFonts w:ascii="Calibri" w:hAnsi="Calibri"/>
        </w:rPr>
        <w:t>En cas de violation de données à caractère personnel (accès non autorisé, fuite, destruction,</w:t>
        <w:br/>
        <w:t>altération accidentelle ou illicite), l'ARMANI applique la procédure suivante :</w:t>
      </w:r>
    </w:p>
    <w:p>
      <w:pPr>
        <w:pStyle w:val="ListNumber"/>
      </w:pPr>
      <w:r>
        <w:rPr>
          <w:rFonts w:ascii="Calibri" w:hAnsi="Calibri"/>
          <w:b/>
        </w:rPr>
        <w:t xml:space="preserve"> Détection et qualification </w:t>
      </w:r>
      <w:r>
        <w:rPr>
          <w:rFonts w:ascii="Calibri" w:hAnsi="Calibri"/>
        </w:rPr>
        <w:t xml:space="preserve"> — l'incident est identifié et évalué dans les plus brefs délais (objectif : sous 24 heures) ;</w:t>
      </w:r>
    </w:p>
    <w:p>
      <w:pPr>
        <w:pStyle w:val="ListNumber"/>
      </w:pPr>
      <w:r>
        <w:rPr>
          <w:rFonts w:ascii="Calibri" w:hAnsi="Calibri"/>
          <w:b/>
        </w:rPr>
        <w:t xml:space="preserve"> Notification à l'APDP </w:t>
      </w:r>
      <w:r>
        <w:rPr>
          <w:rFonts w:ascii="Calibri" w:hAnsi="Calibri"/>
        </w:rPr>
        <w:t xml:space="preserve"> — conformément à l'</w:t>
      </w:r>
      <w:r>
        <w:rPr>
          <w:rFonts w:ascii="Calibri" w:hAnsi="Calibri"/>
          <w:b/>
        </w:rPr>
        <w:t xml:space="preserve"> article 391 du Code du numérique </w:t>
      </w:r>
      <w:r>
        <w:rPr>
          <w:rFonts w:ascii="Calibri" w:hAnsi="Calibri"/>
        </w:rPr>
        <w:t xml:space="preserve">, l'APDP est notifiée dans un délai de </w:t>
      </w:r>
      <w:r>
        <w:rPr>
          <w:rFonts w:ascii="Calibri" w:hAnsi="Calibri"/>
          <w:b/>
        </w:rPr>
        <w:t xml:space="preserve"> 72 heures </w:t>
      </w:r>
      <w:r>
        <w:rPr>
          <w:rFonts w:ascii="Calibri" w:hAnsi="Calibri"/>
        </w:rPr>
        <w:t xml:space="preserve"> suivant la prise de connaissance de la violation, sauf si la violation est peu susceptible d'engendrer un risque pour les personnes ;</w:t>
      </w:r>
    </w:p>
    <w:p>
      <w:pPr>
        <w:pStyle w:val="ListNumber"/>
      </w:pPr>
      <w:r>
        <w:rPr>
          <w:rFonts w:ascii="Calibri" w:hAnsi="Calibri"/>
          <w:b/>
        </w:rPr>
        <w:t xml:space="preserve"> Notification aux personnes concernées </w:t>
      </w:r>
      <w:r>
        <w:rPr>
          <w:rFonts w:ascii="Calibri" w:hAnsi="Calibri"/>
        </w:rPr>
        <w:t xml:space="preserve"> — si la violation est susceptible d'engendrer un risque élevé pour leurs droits et libertés, les personnes concernées sont informées dans les meilleurs délais ;</w:t>
      </w:r>
    </w:p>
    <w:p>
      <w:pPr>
        <w:pStyle w:val="ListNumber"/>
      </w:pPr>
      <w:r>
        <w:rPr>
          <w:rFonts w:ascii="Calibri" w:hAnsi="Calibri"/>
          <w:b/>
        </w:rPr>
        <w:t xml:space="preserve"> Remédiation </w:t>
      </w:r>
      <w:r>
        <w:rPr>
          <w:rFonts w:ascii="Calibri" w:hAnsi="Calibri"/>
        </w:rPr>
        <w:t xml:space="preserve"> — mesures correctives déployées, secrets compromis renouvelés ;</w:t>
      </w:r>
    </w:p>
    <w:p>
      <w:pPr>
        <w:pStyle w:val="ListNumber"/>
      </w:pPr>
      <w:r>
        <w:rPr>
          <w:rFonts w:ascii="Calibri" w:hAnsi="Calibri"/>
          <w:b/>
        </w:rPr>
        <w:t xml:space="preserve"> Documentation </w:t>
      </w:r>
      <w:r>
        <w:rPr>
          <w:rFonts w:ascii="Calibri" w:hAnsi="Calibri"/>
        </w:rPr>
        <w:t xml:space="preserve"> — l'incident est documenté conformément à l'article 391 al. 5 du Code du numérique.</w:t>
      </w:r>
    </w:p>
    <w:p>
      <w:r>
        <w:rPr>
          <w:rFonts w:ascii="Calibri" w:hAnsi="Calibri"/>
        </w:rPr>
        <w:t>Pour signaler une violation ou une vulnérabilité suspectée, utilisez le</w:t>
        <w:br/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 xml:space="preserve"> en mentionnant</w:t>
        <w:br/>
      </w:r>
      <w:r>
        <w:rPr>
          <w:rFonts w:ascii="Calibri" w:hAnsi="Calibri"/>
          <w:b/>
        </w:rPr>
        <w:t xml:space="preserve"> [INCIDENT SÉCURITÉ] </w:t>
      </w:r>
      <w:r>
        <w:rPr>
          <w:rFonts w:ascii="Calibri" w:hAnsi="Calibri"/>
        </w:rPr>
        <w:t xml:space="preserve"> dans le sujet.</w:t>
      </w:r>
    </w:p>
    <w:p>
      <w:pPr>
        <w:pStyle w:val="Heading1"/>
      </w:pPr>
      <w:r>
        <w:rPr>
          <w:rFonts w:ascii="Calibri" w:hAnsi="Calibri"/>
          <w:color w:val="0B6623"/>
        </w:rPr>
        <w:t>14. Modifications de la présente politique</w:t>
      </w:r>
    </w:p>
    <w:p>
      <w:r>
        <w:rPr>
          <w:rFonts w:ascii="Calibri" w:hAnsi="Calibri"/>
        </w:rPr>
        <w:t>L'ARMANI peut mettre à jour la présente Politique pour refléter les évolutions légales,</w:t>
        <w:br/>
        <w:t>techniques ou organisationnelles. En cas de modification substantielle :</w:t>
      </w:r>
    </w:p>
    <w:p>
      <w:pPr>
        <w:pStyle w:val="ListBullet"/>
      </w:pPr>
      <w:r>
        <w:rPr>
          <w:rFonts w:ascii="Calibri" w:hAnsi="Calibri"/>
        </w:rPr>
        <w:t>la date de mise à jour et le numéro de version figurant en tête du document sont actualisés ;</w:t>
      </w:r>
    </w:p>
    <w:p>
      <w:pPr>
        <w:pStyle w:val="ListBullet"/>
      </w:pPr>
      <w:r>
        <w:rPr>
          <w:rFonts w:ascii="Calibri" w:hAnsi="Calibri"/>
        </w:rPr>
        <w:t>les utilisateurs disposant d'un compte sont informés par une notification affichée</w:t>
        <w:br/>
        <w:t xml:space="preserve">        lors de leur prochaine connexion ;</w:t>
      </w:r>
    </w:p>
    <w:p>
      <w:pPr>
        <w:pStyle w:val="ListBullet"/>
      </w:pPr>
      <w:r>
        <w:rPr>
          <w:rFonts w:ascii="Calibri" w:hAnsi="Calibri"/>
        </w:rPr>
        <w:t>la version antérieure reste disponible sur demande via le</w:t>
        <w:br/>
        <w:t xml:space="preserve">        </w:t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La poursuite de l'utilisation de la Plateforme après notification vaut acceptation</w:t>
        <w:br/>
        <w:t>de la politique mise à jour.</w:t>
      </w:r>
    </w:p>
    <w:p>
      <w:pPr>
        <w:pStyle w:val="Heading1"/>
      </w:pPr>
      <w:r>
        <w:rPr>
          <w:rFonts w:ascii="Calibri" w:hAnsi="Calibri"/>
          <w:color w:val="0B6623"/>
        </w:rPr>
        <w:t>15. Textes de référence applicables</w:t>
      </w:r>
    </w:p>
    <w:p>
      <w:pPr>
        <w:pStyle w:val="ListBullet"/>
      </w:pPr>
      <w:r>
        <w:rPr>
          <w:rFonts w:ascii="Calibri" w:hAnsi="Calibri"/>
          <w:b/>
        </w:rPr>
        <w:t xml:space="preserve"> Loi n°2017-20 du 20 avril 2018 </w:t>
      </w:r>
      <w:r>
        <w:rPr>
          <w:rFonts w:ascii="Calibri" w:hAnsi="Calibri"/>
        </w:rPr>
        <w:t xml:space="preserve"> portant Code du numérique en République du Bénin — Livre V (Protection des données à caractère personnel, articles 334 à 412) ;</w:t>
      </w:r>
    </w:p>
    <w:p>
      <w:pPr>
        <w:pStyle w:val="ListBullet"/>
      </w:pPr>
      <w:r>
        <w:rPr>
          <w:rFonts w:ascii="Calibri" w:hAnsi="Calibri"/>
          <w:b/>
        </w:rPr>
        <w:t xml:space="preserve"> Décrets d'application </w:t>
      </w:r>
      <w:r>
        <w:rPr>
          <w:rFonts w:ascii="Calibri" w:hAnsi="Calibri"/>
        </w:rPr>
        <w:t xml:space="preserve"> du Code du numérique en vigueur au Bénin ;</w:t>
      </w:r>
    </w:p>
    <w:p>
      <w:pPr>
        <w:pStyle w:val="ListBullet"/>
      </w:pPr>
      <w:r>
        <w:rPr>
          <w:rFonts w:ascii="Calibri" w:hAnsi="Calibri"/>
          <w:b/>
        </w:rPr>
        <w:t xml:space="preserve"> Délibérations de l'APDP </w:t>
      </w:r>
      <w:r>
        <w:rPr>
          <w:rFonts w:ascii="Calibri" w:hAnsi="Calibri"/>
        </w:rPr>
        <w:t xml:space="preserve"> (Autorité de Protection des Données Personnelles du Bénin) applicables ;</w:t>
      </w:r>
    </w:p>
    <w:p>
      <w:pPr>
        <w:pStyle w:val="ListBullet"/>
      </w:pPr>
      <w:r>
        <w:rPr>
          <w:rFonts w:ascii="Calibri" w:hAnsi="Calibri"/>
          <w:b/>
        </w:rPr>
        <w:t xml:space="preserve"> Loi n°2017-20, Livre VI </w:t>
      </w:r>
      <w:r>
        <w:rPr>
          <w:rFonts w:ascii="Calibri" w:hAnsi="Calibri"/>
        </w:rPr>
        <w:t xml:space="preserve"> — Cybercriminalité (articles 549 et suivants), pour les obligations relatives à la sécurité des systèmes ;</w:t>
      </w:r>
    </w:p>
    <w:p>
      <w:pPr>
        <w:pStyle w:val="ListBullet"/>
      </w:pPr>
      <w:r>
        <w:rPr>
          <w:rFonts w:ascii="Calibri" w:hAnsi="Calibri"/>
          <w:b/>
        </w:rPr>
        <w:t xml:space="preserve"> ISO/IEC 27001:2022 </w:t>
      </w:r>
      <w:r>
        <w:rPr>
          <w:rFonts w:ascii="Calibri" w:hAnsi="Calibri"/>
        </w:rPr>
        <w:t xml:space="preserve"> — Référentiel international de management de la sécurité de l'information (référence technique) ;</w:t>
      </w:r>
    </w:p>
    <w:p>
      <w:pPr>
        <w:pStyle w:val="ListBullet"/>
      </w:pPr>
      <w:r>
        <w:rPr>
          <w:rFonts w:ascii="Calibri" w:hAnsi="Calibri"/>
          <w:b/>
        </w:rPr>
        <w:t xml:space="preserve"> OWASP Top 10 2021 </w:t>
      </w:r>
      <w:r>
        <w:rPr>
          <w:rFonts w:ascii="Calibri" w:hAnsi="Calibri"/>
        </w:rPr>
        <w:t xml:space="preserve"> — Référentiel des principales vulnérabilités des applications web (référence sécurité) ;</w:t>
      </w:r>
    </w:p>
    <w:p>
      <w:pPr>
        <w:pStyle w:val="ListBullet"/>
      </w:pPr>
      <w:r>
        <w:rPr>
          <w:rFonts w:ascii="Calibri" w:hAnsi="Calibri"/>
          <w:b/>
        </w:rPr>
        <w:t xml:space="preserve"> Accord de financement DDC Suisse n°81074308 </w:t>
      </w:r>
      <w:r>
        <w:rPr>
          <w:rFonts w:ascii="Calibri" w:hAnsi="Calibri"/>
        </w:rPr>
        <w:t xml:space="preserve"> — Clauses de protection des données applicables.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