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48"/>
          <w:szCs w:val="48"/>
        </w:rPr>
        <w:t xml:space="preserve">The Alcan Avenue Patient Journey</w:t>
      </w:r>
    </w:p>
    <w:p>
      <w:pPr>
        <w:spacing w:after="60"/>
      </w:pPr>
      <w:r>
        <w:rPr>
          <w:rFonts w:ascii="Calibri" w:cs="Calibri" w:eastAsia="Calibri" w:hAnsi="Calibri"/>
          <w:color w:val="595959"/>
          <w:sz w:val="28"/>
          <w:szCs w:val="28"/>
        </w:rPr>
        <w:t xml:space="preserve">Draft for review</w:t>
      </w:r>
    </w:p>
    <w:p>
      <w:pPr>
        <w:pBdr>
          <w:bottom w:val="single" w:color="1F4E79" w:sz="12" w:space="10"/>
        </w:pBdr>
        <w:spacing w:after="100"/>
      </w:pPr>
      <w:r>
        <w:rPr>
          <w:rFonts w:ascii="Calibri" w:cs="Calibri" w:eastAsia="Calibri" w:hAnsi="Calibri"/>
          <w:color w:val="595959"/>
          <w:sz w:val="21"/>
          <w:szCs w:val="21"/>
        </w:rPr>
        <w:t xml:space="preserve">Prepared for Bobby Bhandal and Sam  ·  29 July 2026</w:t>
      </w:r>
    </w:p>
    <w:p>
      <w:pPr>
        <w:spacing w:after="160"/>
      </w:pPr>
      <w:r>
        <w:rPr>
          <w:sz w:val="12"/>
          <w:szCs w:val="12"/>
        </w:rPr>
        <w:t xml:space="preserve"/>
      </w:r>
    </w:p>
    <w:p>
      <w:pPr>
        <w:pStyle w:val="Heading1"/>
        <w:spacing w:after="200" w:before="400"/>
      </w:pPr>
      <w:r>
        <w:rPr>
          <w:rFonts w:ascii="Calibri" w:cs="Calibri" w:eastAsia="Calibri" w:hAnsi="Calibri"/>
          <w:b/>
          <w:bCs/>
          <w:color w:val="1F4E79"/>
          <w:sz w:val="32"/>
          <w:szCs w:val="32"/>
        </w:rPr>
        <w:t xml:space="preserve">Before you read this</w:t>
      </w:r>
    </w:p>
    <w:p>
      <w:pPr>
        <w:spacing w:after="160" w:line="288"/>
      </w:pPr>
      <w:r>
        <w:rPr>
          <w:rFonts w:ascii="Calibri" w:cs="Calibri" w:eastAsia="Calibri" w:hAnsi="Calibri"/>
          <w:sz w:val="22"/>
          <w:szCs w:val="22"/>
        </w:rPr>
        <w:t xml:space="preserve">This is our write-up of the patient journey Bobby described: the new patient experience at Alcan Avenue, from the first enquiry through to the end of treatment. It is built almost entirely from Bobby’s own narration, so most of it should read back as familiar.</w:t>
      </w:r>
    </w:p>
    <w:p>
      <w:pPr>
        <w:spacing w:after="160" w:line="288"/>
      </w:pPr>
      <w:r>
        <w:rPr>
          <w:rFonts w:ascii="Calibri" w:cs="Calibri" w:eastAsia="Calibri" w:hAnsi="Calibri"/>
          <w:b/>
          <w:bCs/>
          <w:sz w:val="22"/>
          <w:szCs w:val="22"/>
        </w:rPr>
        <w:t xml:space="preserve">What we need from you is a reaction, not a rewrite.</w:t>
      </w:r>
      <w:r>
        <w:rPr>
          <w:rFonts w:ascii="Calibri" w:cs="Calibri" w:eastAsia="Calibri" w:hAnsi="Calibri"/>
          <w:sz w:val="22"/>
          <w:szCs w:val="22"/>
        </w:rPr>
        <w:t xml:space="preserve"> Read it through and mark it up as you go:</w:t>
      </w:r>
    </w:p>
    <w:p>
      <w:pPr>
        <w:pStyle w:val="ListParagraph"/>
        <w:numPr>
          <w:ilvl w:val="0"/>
          <w:numId w:val="2"/>
        </w:numPr>
        <w:spacing w:after="100" w:line="288"/>
      </w:pPr>
      <w:r>
        <w:rPr>
          <w:rFonts w:ascii="Calibri" w:cs="Calibri" w:eastAsia="Calibri" w:hAnsi="Calibri"/>
          <w:b/>
          <w:bCs/>
          <w:sz w:val="22"/>
          <w:szCs w:val="22"/>
        </w:rPr>
        <w:t xml:space="preserve">Yes, that’s right.</w:t>
      </w:r>
      <w:r>
        <w:rPr>
          <w:rFonts w:ascii="Calibri" w:cs="Calibri" w:eastAsia="Calibri" w:hAnsi="Calibri"/>
          <w:sz w:val="22"/>
          <w:szCs w:val="22"/>
        </w:rPr>
        <w:t xml:space="preserve"> Leave it alone.</w:t>
      </w:r>
    </w:p>
    <w:p>
      <w:pPr>
        <w:pStyle w:val="ListParagraph"/>
        <w:numPr>
          <w:ilvl w:val="0"/>
          <w:numId w:val="2"/>
        </w:numPr>
        <w:spacing w:after="100" w:line="288"/>
      </w:pPr>
      <w:r>
        <w:rPr>
          <w:rFonts w:ascii="Calibri" w:cs="Calibri" w:eastAsia="Calibri" w:hAnsi="Calibri"/>
          <w:b/>
          <w:bCs/>
          <w:sz w:val="22"/>
          <w:szCs w:val="22"/>
        </w:rPr>
        <w:t xml:space="preserve">That’s changed,</w:t>
      </w:r>
      <w:r>
        <w:rPr>
          <w:rFonts w:ascii="Calibri" w:cs="Calibri" w:eastAsia="Calibri" w:hAnsi="Calibri"/>
          <w:sz w:val="22"/>
          <w:szCs w:val="22"/>
        </w:rPr>
        <w:t xml:space="preserve"> or that was never quite what I meant. Say so, and tell us what it should be.</w:t>
      </w:r>
    </w:p>
    <w:p>
      <w:pPr>
        <w:pStyle w:val="ListParagraph"/>
        <w:numPr>
          <w:ilvl w:val="0"/>
          <w:numId w:val="2"/>
        </w:numPr>
        <w:spacing w:after="100" w:line="288"/>
      </w:pPr>
      <w:r>
        <w:rPr>
          <w:rFonts w:ascii="Calibri" w:cs="Calibri" w:eastAsia="Calibri" w:hAnsi="Calibri"/>
          <w:b/>
          <w:bCs/>
          <w:sz w:val="22"/>
          <w:szCs w:val="22"/>
        </w:rPr>
        <w:t xml:space="preserve">I hadn’t thought about that.</w:t>
      </w:r>
      <w:r>
        <w:rPr>
          <w:rFonts w:ascii="Calibri" w:cs="Calibri" w:eastAsia="Calibri" w:hAnsi="Calibri"/>
          <w:sz w:val="22"/>
          <w:szCs w:val="22"/>
        </w:rPr>
        <w:t xml:space="preserve"> Flag it and we will talk it through on the call.</w:t>
      </w:r>
    </w:p>
    <w:p>
      <w:pPr>
        <w:spacing w:after="160" w:line="288"/>
      </w:pPr>
      <w:r>
        <w:rPr>
          <w:rFonts w:ascii="Calibri" w:cs="Calibri" w:eastAsia="Calibri" w:hAnsi="Calibri"/>
          <w:sz w:val="22"/>
          <w:szCs w:val="22"/>
        </w:rPr>
        <w:t xml:space="preserve">Two things are marked throughout.</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flags anything genuinely different from how Avenue runs today. Some of these affect people other than the TCO, and those are the ones most worth your attention.</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Q1, Q2, Q3  </w:t>
      </w:r>
      <w:r>
        <w:rPr>
          <w:rFonts w:ascii="Calibri" w:cs="Calibri" w:eastAsia="Calibri" w:hAnsi="Calibri"/>
          <w:sz w:val="22"/>
          <w:szCs w:val="22"/>
        </w:rPr>
        <w:t xml:space="preserve">and so on are open questions. They appear where they come up and are collected at the end. These are the things we cannot decide for you, and most of them affect headcount or money.</w:t>
      </w:r>
    </w:p>
    <w:p>
      <w:pPr>
        <w:pStyle w:val="Heading2"/>
        <w:spacing w:after="140" w:before="320"/>
      </w:pPr>
      <w:r>
        <w:rPr>
          <w:rFonts w:ascii="Calibri" w:cs="Calibri" w:eastAsia="Calibri" w:hAnsi="Calibri"/>
          <w:b/>
          <w:bCs/>
          <w:color w:val="000000"/>
          <w:sz w:val="26"/>
          <w:szCs w:val="26"/>
        </w:rPr>
        <w:t xml:space="preserve">Why we are doing this first</w:t>
      </w:r>
    </w:p>
    <w:p>
      <w:pPr>
        <w:spacing w:after="160" w:line="288"/>
      </w:pPr>
      <w:r>
        <w:rPr>
          <w:rFonts w:ascii="Calibri" w:cs="Calibri" w:eastAsia="Calibri" w:hAnsi="Calibri"/>
          <w:sz w:val="22"/>
          <w:szCs w:val="22"/>
        </w:rPr>
        <w:t xml:space="preserve">Tim’s sequence is deliberate, and each step feeds the next:</w:t>
      </w:r>
    </w:p>
    <w:p>
      <w:pPr>
        <w:shd w:fill="EDF3F8" w:color="auto" w:val="clear"/>
        <w:spacing w:after="200" w:before="160"/>
        <w:ind w:left="180" w:right="180"/>
        <w:jc w:val="center"/>
      </w:pPr>
      <w:r>
        <w:rPr>
          <w:rFonts w:ascii="Calibri" w:cs="Calibri" w:eastAsia="Calibri" w:hAnsi="Calibri"/>
          <w:b/>
          <w:bCs/>
          <w:color w:val="1F4E79"/>
          <w:sz w:val="22"/>
          <w:szCs w:val="22"/>
        </w:rPr>
        <w:t xml:space="preserve">Patient journey  →  job descriptions  →  KPIs  →  manager performance spreadsheets  →  Pro Moves</w:t>
      </w:r>
    </w:p>
    <w:p>
      <w:pPr>
        <w:spacing w:after="160" w:line="288"/>
      </w:pPr>
      <w:r>
        <w:rPr>
          <w:rFonts w:ascii="Calibri" w:cs="Calibri" w:eastAsia="Calibri" w:hAnsi="Calibri"/>
          <w:sz w:val="22"/>
          <w:szCs w:val="22"/>
        </w:rPr>
        <w:t xml:space="preserve">Everything downstream inherits the assumptions in this document. The job descriptions get written off this journey. The KPIs get written off those job descriptions. So the cheapest possible moment to correct something is right now, while it is still a page of text rather than a training programme.</w:t>
      </w:r>
    </w:p>
    <w:p>
      <w:pPr>
        <w:spacing w:after="160" w:line="288"/>
      </w:pPr>
      <w:r>
        <w:rPr>
          <w:rFonts w:ascii="Calibri" w:cs="Calibri" w:eastAsia="Calibri" w:hAnsi="Calibri"/>
          <w:sz w:val="22"/>
          <w:szCs w:val="22"/>
        </w:rPr>
        <w:t xml:space="preserve">We are roughly 90% of the way there on job descriptions already, because Alcan has most of these roles in some form. What we do not have is them tailored to the journey Avenue is actually building. That is what this unlocks.</w:t>
      </w:r>
    </w:p>
    <w:p>
      <w:pPr>
        <w:pBdr>
          <w:bottom w:val="single" w:color="D9D9D9" w:sz="6" w:space="4"/>
        </w:pBdr>
        <w:spacing w:after="200" w:before="200"/>
      </w:pPr>
      <w:r>
        <w:rPr>
          <w:rFonts w:ascii="Calibri" w:cs="Calibri" w:eastAsia="Calibri" w:hAnsi="Calibri"/>
          <w:sz w:val="8"/>
          <w:szCs w:val="8"/>
        </w:rPr>
        <w:t xml:space="preserve"/>
      </w:r>
    </w:p>
    <w:p>
      <w:pPr>
        <w:pStyle w:val="Heading1"/>
        <w:spacing w:after="200" w:before="400"/>
      </w:pPr>
      <w:r>
        <w:rPr>
          <w:rFonts w:ascii="Calibri" w:cs="Calibri" w:eastAsia="Calibri" w:hAnsi="Calibri"/>
          <w:b/>
          <w:bCs/>
          <w:color w:val="1F4E79"/>
          <w:sz w:val="32"/>
          <w:szCs w:val="32"/>
        </w:rPr>
        <w:t xml:space="preserve">1.  The core idea</w:t>
      </w:r>
    </w:p>
    <w:p>
      <w:pPr>
        <w:spacing w:after="160" w:line="288"/>
      </w:pPr>
      <w:r>
        <w:rPr>
          <w:rFonts w:ascii="Calibri" w:cs="Calibri" w:eastAsia="Calibri" w:hAnsi="Calibri"/>
          <w:sz w:val="22"/>
          <w:szCs w:val="22"/>
        </w:rPr>
        <w:t xml:space="preserve">Today, Avenue runs on </w:t>
      </w:r>
      <w:r>
        <w:rPr>
          <w:rFonts w:ascii="Calibri" w:cs="Calibri" w:eastAsia="Calibri" w:hAnsi="Calibri"/>
          <w:b/>
          <w:bCs/>
          <w:sz w:val="22"/>
          <w:szCs w:val="22"/>
        </w:rPr>
        <w:t xml:space="preserve">whoever is free.</w:t>
      </w:r>
      <w:r>
        <w:rPr>
          <w:rFonts w:ascii="Calibri" w:cs="Calibri" w:eastAsia="Calibri" w:hAnsi="Calibri"/>
          <w:sz w:val="22"/>
          <w:szCs w:val="22"/>
        </w:rPr>
        <w:t xml:space="preserve"> A patient enquires and whoever picks up owns that moment. They come in and whoever is at the desk greets them. They ring back with a question and get a different person. Angelina and Millie are doing treatment coordinator work on top of full reception duties, which works because they are good at it, and stops working the moment three surgeries are running, the door goes, and the phone goes at once.</w:t>
      </w:r>
    </w:p>
    <w:p>
      <w:pPr>
        <w:spacing w:after="160" w:line="288"/>
      </w:pPr>
      <w:r>
        <w:rPr>
          <w:rFonts w:ascii="Calibri" w:cs="Calibri" w:eastAsia="Calibri" w:hAnsi="Calibri"/>
          <w:sz w:val="22"/>
          <w:szCs w:val="22"/>
        </w:rPr>
        <w:t xml:space="preserve">The problem is not that anyone does a bad job. It is that </w:t>
      </w:r>
      <w:r>
        <w:rPr>
          <w:rFonts w:ascii="Calibri" w:cs="Calibri" w:eastAsia="Calibri" w:hAnsi="Calibri"/>
          <w:b/>
          <w:bCs/>
          <w:sz w:val="22"/>
          <w:szCs w:val="22"/>
        </w:rPr>
        <w:t xml:space="preserve">nobody owns the patient.</w:t>
      </w:r>
      <w:r>
        <w:rPr>
          <w:rFonts w:ascii="Calibri" w:cs="Calibri" w:eastAsia="Calibri" w:hAnsi="Calibri"/>
          <w:sz w:val="22"/>
          <w:szCs w:val="22"/>
        </w:rPr>
        <w:t xml:space="preserve"> Notes go into CareStack, calls go into VoiceStack, and things still get lost, because a record is not a relationship.</w:t>
      </w:r>
    </w:p>
    <w:p>
      <w:pPr>
        <w:spacing w:after="160" w:line="288"/>
      </w:pPr>
      <w:r>
        <w:rPr>
          <w:rFonts w:ascii="Calibri" w:cs="Calibri" w:eastAsia="Calibri" w:hAnsi="Calibri"/>
          <w:sz w:val="22"/>
          <w:szCs w:val="22"/>
        </w:rPr>
        <w:t xml:space="preserve">The new standard replaces that with a named owner:</w:t>
      </w:r>
    </w:p>
    <w:p>
      <w:pPr>
        <w:pBdr>
          <w:left w:val="single" w:color="BFBFBF" w:sz="12" w:space="12"/>
        </w:pBdr>
        <w:spacing w:after="160" w:before="120" w:line="288"/>
        <w:ind w:left="480"/>
      </w:pPr>
      <w:r>
        <w:rPr>
          <w:rFonts w:ascii="Calibri" w:cs="Calibri" w:eastAsia="Calibri" w:hAnsi="Calibri"/>
          <w:b/>
          <w:bCs/>
          <w:i/>
          <w:iCs/>
          <w:color w:val="3F3F3F"/>
          <w:sz w:val="22"/>
          <w:szCs w:val="22"/>
        </w:rPr>
        <w:t xml:space="preserve">Every new patient gets one person who introduces themselves at the first contact and is still there at the last one.</w:t>
      </w:r>
      <w:r>
        <w:rPr>
          <w:rFonts w:ascii="Calibri" w:cs="Calibri" w:eastAsia="Calibri" w:hAnsi="Calibri"/>
          <w:i/>
          <w:iCs/>
          <w:color w:val="3F3F3F"/>
          <w:sz w:val="22"/>
          <w:szCs w:val="22"/>
        </w:rPr>
        <w:t xml:space="preserve"> That person has a direct number. The patient never rings the practice and asks to be passed to someone. The dentist never carries the money conversation. And when something goes wrong, the patient complains to someone who already knows them.</w:t>
      </w:r>
    </w:p>
    <w:p>
      <w:pPr>
        <w:spacing w:after="160" w:line="288"/>
      </w:pPr>
      <w:r>
        <w:rPr>
          <w:rFonts w:ascii="Calibri" w:cs="Calibri" w:eastAsia="Calibri" w:hAnsi="Calibri"/>
          <w:sz w:val="22"/>
          <w:szCs w:val="22"/>
        </w:rPr>
        <w:t xml:space="preserve">That is what turns a dental appointment into a luxury service, and it lightens the clinician’s load at the same time.</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This is not “do what you were doing, but better.” It is a new flow. Reception loses new patient intake. The dentist stops carrying the fee conversation. The practice manager stops being the default owner of unhappy patients. Worth being clear-eyed that this is a real change for several people, not just the addition of one new role.</w:t>
      </w:r>
    </w:p>
    <w:p>
      <w:pPr>
        <w:pStyle w:val="Heading1"/>
        <w:spacing w:after="200" w:before="400"/>
      </w:pPr>
      <w:r>
        <w:rPr>
          <w:rFonts w:ascii="Calibri" w:cs="Calibri" w:eastAsia="Calibri" w:hAnsi="Calibri"/>
          <w:b/>
          <w:bCs/>
          <w:color w:val="1F4E79"/>
          <w:sz w:val="32"/>
          <w:szCs w:val="32"/>
        </w:rPr>
        <w:t xml:space="preserve">2.  Who owns what</w:t>
      </w:r>
    </w:p>
    <w:tbl>
      <w:tblPr>
        <w:tblW w:type="dxa" w:w="9026"/>
        <w:tblBorders>
          <w:top w:val="single" w:color="D0D7DE" w:sz="2"/>
          <w:left w:val="single" w:color="D0D7DE" w:sz="2"/>
          <w:bottom w:val="single" w:color="D0D7DE" w:sz="2"/>
          <w:right w:val="single" w:color="D0D7DE" w:sz="2"/>
          <w:insideH w:val="single" w:color="D0D7DE" w:sz="2"/>
          <w:insideV w:val="single" w:color="D0D7DE" w:sz="2"/>
        </w:tblBorders>
      </w:tblPr>
      <w:tblGrid>
        <w:gridCol w:w="1900"/>
        <w:gridCol w:w="4126"/>
        <w:gridCol w:w="3000"/>
      </w:tblGrid>
      <w:tr>
        <w:trPr>
          <w:tblHeader/>
        </w:trPr>
        <w:tc>
          <w:tcPr>
            <w:tcW w:type="dxa" w:w="1900"/>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Role</w:t>
            </w:r>
          </w:p>
        </w:tc>
        <w:tc>
          <w:tcPr>
            <w:tcW w:type="dxa" w:w="4126"/>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Owns</w:t>
            </w:r>
          </w:p>
        </w:tc>
        <w:tc>
          <w:tcPr>
            <w:tcW w:type="dxa" w:w="3000"/>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How much this changes</w:t>
            </w:r>
          </w:p>
        </w:tc>
      </w:tr>
      <w:tr>
        <w:tc>
          <w:tcPr>
            <w:tcW w:type="dxa" w:w="19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TCO</w:t>
            </w:r>
          </w:p>
        </w:tc>
        <w:tc>
          <w:tcPr>
            <w:tcW w:type="dxa" w:w="41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The entire new patient relationship. Enquiry through to end of treatment, including money, consent, booking and first-line complaints.</w:t>
            </w:r>
          </w:p>
        </w:tc>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Everything. The role does not really exist at Avenue yet.</w:t>
            </w:r>
          </w:p>
        </w:tc>
      </w:tr>
      <w:tr>
        <w:tc>
          <w:tcPr>
            <w:tcW w:type="dxa" w:w="19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Reception</w:t>
            </w:r>
          </w:p>
        </w:tc>
        <w:tc>
          <w:tcPr>
            <w:tcW w:type="dxa" w:w="41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The existing patient base, the front of house, and the practice’s daily rhythm. Loses new patient intake.</w:t>
            </w:r>
          </w:p>
        </w:tc>
        <w:tc>
          <w:tcPr>
            <w:tcW w:type="dxa" w:w="30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Significantly. Narrower job, higher bar within it.</w:t>
            </w:r>
          </w:p>
        </w:tc>
      </w:tr>
      <w:tr>
        <w:tc>
          <w:tcPr>
            <w:tcW w:type="dxa" w:w="19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Nurse</w:t>
            </w:r>
          </w:p>
        </w:tc>
        <w:tc>
          <w:tcPr>
            <w:tcW w:type="dxa" w:w="41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Chairside, the surgery, the clinical record, the handover to the dentist.</w:t>
            </w:r>
          </w:p>
        </w:tc>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Barely at all. Mostly unchanged.</w:t>
            </w:r>
          </w:p>
        </w:tc>
      </w:tr>
      <w:tr>
        <w:tc>
          <w:tcPr>
            <w:tcW w:type="dxa" w:w="19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Dentist</w:t>
            </w:r>
          </w:p>
        </w:tc>
        <w:tc>
          <w:tcPr>
            <w:tcW w:type="dxa" w:w="41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Diagnosis, the clinical plan, prescribing the staging and timeframes.</w:t>
            </w:r>
          </w:p>
        </w:tc>
        <w:tc>
          <w:tcPr>
            <w:tcW w:type="dxa" w:w="30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Meaningfully. Stops presenting fees and handling objections. Chair time gets protected.</w:t>
            </w:r>
          </w:p>
        </w:tc>
      </w:tr>
      <w:tr>
        <w:tc>
          <w:tcPr>
            <w:tcW w:type="dxa" w:w="19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Practice manager</w:t>
            </w:r>
          </w:p>
        </w:tc>
        <w:tc>
          <w:tcPr>
            <w:tcW w:type="dxa" w:w="41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The system rather than the transactions. The numbers, the standards, escalated complaints, developing the team.</w:t>
            </w:r>
          </w:p>
        </w:tc>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Significantly.</w:t>
            </w:r>
          </w:p>
        </w:tc>
      </w:tr>
    </w:tbl>
    <w:p>
      <w:pPr>
        <w:spacing w:after="160"/>
      </w:pPr>
      <w:r>
        <w:rPr>
          <w:sz w:val="12"/>
          <w:szCs w:val="12"/>
        </w:rPr>
        <w:t xml:space="preserve"/>
      </w:r>
    </w:p>
    <w:p>
      <w:pPr>
        <w:pStyle w:val="Heading1"/>
        <w:spacing w:after="200" w:before="400"/>
      </w:pPr>
      <w:r>
        <w:rPr>
          <w:rFonts w:ascii="Calibri" w:cs="Calibri" w:eastAsia="Calibri" w:hAnsi="Calibri"/>
          <w:b/>
          <w:bCs/>
          <w:color w:val="1F4E79"/>
          <w:sz w:val="32"/>
          <w:szCs w:val="32"/>
        </w:rPr>
        <w:t xml:space="preserve">3.  Which patients go through this</w:t>
      </w:r>
    </w:p>
    <w:p>
      <w:pPr>
        <w:spacing w:after="160" w:line="288"/>
      </w:pPr>
      <w:r>
        <w:rPr>
          <w:rFonts w:ascii="Calibri" w:cs="Calibri" w:eastAsia="Calibri" w:hAnsi="Calibri"/>
          <w:sz w:val="22"/>
          <w:szCs w:val="22"/>
        </w:rPr>
        <w:t xml:space="preserve">This is the first real decision, and it sets everything else, including how many TCOs Avenue needs.</w:t>
      </w:r>
    </w:p>
    <w:p>
      <w:pPr>
        <w:spacing w:after="160" w:line="288"/>
      </w:pPr>
      <w:r>
        <w:rPr>
          <w:rFonts w:ascii="Calibri" w:cs="Calibri" w:eastAsia="Calibri" w:hAnsi="Calibri"/>
          <w:sz w:val="22"/>
          <w:szCs w:val="22"/>
        </w:rPr>
        <w:t xml:space="preserve">Bobby described two positions in the same conversation, and they are not the same policy:</w:t>
      </w:r>
    </w:p>
    <w:p>
      <w:pPr>
        <w:pStyle w:val="ListParagraph"/>
        <w:numPr>
          <w:ilvl w:val="0"/>
          <w:numId w:val="2"/>
        </w:numPr>
        <w:spacing w:after="100" w:line="288"/>
      </w:pPr>
      <w:r>
        <w:rPr>
          <w:rFonts w:ascii="Calibri" w:cs="Calibri" w:eastAsia="Calibri" w:hAnsi="Calibri"/>
          <w:b/>
          <w:bCs/>
          <w:sz w:val="22"/>
          <w:szCs w:val="22"/>
        </w:rPr>
        <w:t xml:space="preserve">The UK norm:</w:t>
      </w:r>
      <w:r>
        <w:rPr>
          <w:rFonts w:ascii="Calibri" w:cs="Calibri" w:eastAsia="Calibri" w:hAnsi="Calibri"/>
          <w:sz w:val="22"/>
          <w:szCs w:val="22"/>
        </w:rPr>
        <w:t xml:space="preserve"> TCOs handle big ticket only. Implants, clear aligners, smile makeovers.</w:t>
      </w:r>
    </w:p>
    <w:p>
      <w:pPr>
        <w:pStyle w:val="ListParagraph"/>
        <w:numPr>
          <w:ilvl w:val="0"/>
          <w:numId w:val="2"/>
        </w:numPr>
        <w:spacing w:after="100" w:line="288"/>
      </w:pPr>
      <w:r>
        <w:rPr>
          <w:rFonts w:ascii="Calibri" w:cs="Calibri" w:eastAsia="Calibri" w:hAnsi="Calibri"/>
          <w:b/>
          <w:bCs/>
          <w:sz w:val="22"/>
          <w:szCs w:val="22"/>
        </w:rPr>
        <w:t xml:space="preserve">The ideal, and what Bobby said he wants:</w:t>
      </w:r>
      <w:r>
        <w:rPr>
          <w:rFonts w:ascii="Calibri" w:cs="Calibri" w:eastAsia="Calibri" w:hAnsi="Calibri"/>
          <w:sz w:val="22"/>
          <w:szCs w:val="22"/>
        </w:rPr>
        <w:t xml:space="preserve"> one or two people dedicated to </w:t>
      </w:r>
      <w:r>
        <w:rPr>
          <w:rFonts w:ascii="Calibri" w:cs="Calibri" w:eastAsia="Calibri" w:hAnsi="Calibri"/>
          <w:b/>
          <w:bCs/>
          <w:sz w:val="22"/>
          <w:szCs w:val="22"/>
        </w:rPr>
        <w:t xml:space="preserve">all</w:t>
      </w:r>
      <w:r>
        <w:rPr>
          <w:rFonts w:ascii="Calibri" w:cs="Calibri" w:eastAsia="Calibri" w:hAnsi="Calibri"/>
          <w:sz w:val="22"/>
          <w:szCs w:val="22"/>
        </w:rPr>
        <w:t xml:space="preserve"> new patient intake, with reception keeping the existing patient base and its enquiries.</w:t>
      </w:r>
    </w:p>
    <w:p>
      <w:pPr>
        <w:spacing w:after="160" w:line="288"/>
      </w:pPr>
      <w:r>
        <w:rPr>
          <w:rFonts w:ascii="Calibri" w:cs="Calibri" w:eastAsia="Calibri" w:hAnsi="Calibri"/>
          <w:sz w:val="22"/>
          <w:szCs w:val="22"/>
        </w:rPr>
        <w:t xml:space="preserve">Our suggestion is to route by </w:t>
      </w:r>
      <w:r>
        <w:rPr>
          <w:rFonts w:ascii="Calibri" w:cs="Calibri" w:eastAsia="Calibri" w:hAnsi="Calibri"/>
          <w:b/>
          <w:bCs/>
          <w:sz w:val="22"/>
          <w:szCs w:val="22"/>
        </w:rPr>
        <w:t xml:space="preserve">where the patient came from,</w:t>
      </w:r>
      <w:r>
        <w:rPr>
          <w:rFonts w:ascii="Calibri" w:cs="Calibri" w:eastAsia="Calibri" w:hAnsi="Calibri"/>
          <w:sz w:val="22"/>
          <w:szCs w:val="22"/>
        </w:rPr>
        <w:t xml:space="preserve"> not by what their treatment might be worth, because you cannot know the value until you have asked the questions. That is Bobby’s own point about never quoting on the phone, applied to triage.</w:t>
      </w:r>
    </w:p>
    <w:tbl>
      <w:tblPr>
        <w:tblW w:type="dxa" w:w="9026"/>
        <w:tblBorders>
          <w:top w:val="single" w:color="D0D7DE" w:sz="2"/>
          <w:left w:val="single" w:color="D0D7DE" w:sz="2"/>
          <w:bottom w:val="single" w:color="D0D7DE" w:sz="2"/>
          <w:right w:val="single" w:color="D0D7DE" w:sz="2"/>
          <w:insideH w:val="single" w:color="D0D7DE" w:sz="2"/>
          <w:insideV w:val="single" w:color="D0D7DE" w:sz="2"/>
        </w:tblBorders>
      </w:tblPr>
      <w:tblGrid>
        <w:gridCol w:w="4400"/>
        <w:gridCol w:w="4626"/>
      </w:tblGrid>
      <w:tr>
        <w:trPr>
          <w:tblHeader/>
        </w:trPr>
        <w:tc>
          <w:tcPr>
            <w:tcW w:type="dxa" w:w="4400"/>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Patient</w:t>
            </w:r>
          </w:p>
        </w:tc>
        <w:tc>
          <w:tcPr>
            <w:tcW w:type="dxa" w:w="4626"/>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Goes to</w:t>
            </w:r>
          </w:p>
        </w:tc>
      </w:tr>
      <w:tr>
        <w:tc>
          <w:tcPr>
            <w:tcW w:type="dxa" w:w="44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Any new patient enquiry, any channel</w:t>
            </w:r>
          </w:p>
        </w:tc>
        <w:tc>
          <w:tcPr>
            <w:tcW w:type="dxa" w:w="4626"/>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TCO</w:t>
            </w:r>
          </w:p>
        </w:tc>
      </w:tr>
      <w:tr>
        <w:tc>
          <w:tcPr>
            <w:tcW w:type="dxa" w:w="44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Existing patient, routine need</w:t>
            </w:r>
          </w:p>
        </w:tc>
        <w:tc>
          <w:tcPr>
            <w:tcW w:type="dxa" w:w="46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Reception</w:t>
            </w:r>
          </w:p>
        </w:tc>
      </w:tr>
      <w:tr>
        <w:tc>
          <w:tcPr>
            <w:tcW w:type="dxa" w:w="44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Existing patient asking about implants, aligners or cosmetic work</w:t>
            </w:r>
          </w:p>
        </w:tc>
        <w:tc>
          <w:tcPr>
            <w:tcW w:type="dxa" w:w="4626"/>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TCO</w:t>
            </w:r>
            <w:r>
              <w:rPr>
                <w:rFonts w:ascii="Calibri" w:cs="Calibri" w:eastAsia="Calibri" w:hAnsi="Calibri"/>
                <w:b w:val="false"/>
                <w:bCs w:val="false"/>
                <w:color w:val="000000"/>
                <w:sz w:val="21"/>
                <w:szCs w:val="21"/>
              </w:rPr>
              <w:t xml:space="preserve">, opened as a new case</w:t>
            </w:r>
          </w:p>
        </w:tc>
      </w:tr>
      <w:tr>
        <w:tc>
          <w:tcPr>
            <w:tcW w:type="dxa" w:w="44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Emergency, new or existing</w:t>
            </w:r>
          </w:p>
        </w:tc>
        <w:tc>
          <w:tcPr>
            <w:tcW w:type="dxa" w:w="46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Reception first, get them seen. TCO picks up afterwards if a plan comes out of it.</w:t>
            </w:r>
          </w:p>
        </w:tc>
      </w:tr>
    </w:tbl>
    <w:p>
      <w:pPr>
        <w:spacing w:after="160"/>
      </w:pPr>
      <w:r>
        <w:rPr>
          <w:sz w:val="12"/>
          <w:szCs w:val="12"/>
        </w:rPr>
        <w:t xml:space="preserve"/>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Q1  </w:t>
      </w:r>
      <w:r>
        <w:rPr>
          <w:rFonts w:ascii="Calibri" w:cs="Calibri" w:eastAsia="Calibri" w:hAnsi="Calibri"/>
          <w:sz w:val="22"/>
          <w:szCs w:val="22"/>
        </w:rPr>
        <w:t xml:space="preserve">All new patients through the TCO, or high value only to start with?</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Q2  </w:t>
      </w:r>
      <w:r>
        <w:rPr>
          <w:rFonts w:ascii="Calibri" w:cs="Calibri" w:eastAsia="Calibri" w:hAnsi="Calibri"/>
          <w:sz w:val="22"/>
          <w:szCs w:val="22"/>
        </w:rPr>
        <w:t xml:space="preserve">At Avenue’s current enquiry volume, does one TCO cover it, or do you need two from day one? This should be answerable from Boxley.</w:t>
      </w:r>
    </w:p>
    <w:p>
      <w:pPr>
        <w:pBdr>
          <w:bottom w:val="single" w:color="D9D9D9" w:sz="6" w:space="4"/>
        </w:pBdr>
        <w:spacing w:after="200" w:before="200"/>
      </w:pPr>
      <w:r>
        <w:rPr>
          <w:rFonts w:ascii="Calibri" w:cs="Calibri" w:eastAsia="Calibri" w:hAnsi="Calibri"/>
          <w:sz w:val="8"/>
          <w:szCs w:val="8"/>
        </w:rPr>
        <w:t xml:space="preserve"/>
      </w:r>
    </w:p>
    <w:p>
      <w:pPr>
        <w:pStyle w:val="Heading1"/>
        <w:spacing w:after="200" w:before="400"/>
      </w:pPr>
      <w:r>
        <w:rPr>
          <w:rFonts w:ascii="Calibri" w:cs="Calibri" w:eastAsia="Calibri" w:hAnsi="Calibri"/>
          <w:b/>
          <w:bCs/>
          <w:color w:val="1F4E79"/>
          <w:sz w:val="32"/>
          <w:szCs w:val="32"/>
        </w:rPr>
        <w:t xml:space="preserve">4.  The journey</w:t>
      </w:r>
    </w:p>
    <w:p>
      <w:pPr>
        <w:pStyle w:val="Heading2"/>
        <w:spacing w:after="140" w:before="320"/>
      </w:pPr>
      <w:r>
        <w:rPr>
          <w:rFonts w:ascii="Calibri" w:cs="Calibri" w:eastAsia="Calibri" w:hAnsi="Calibri"/>
          <w:b/>
          <w:bCs/>
          <w:color w:val="000000"/>
          <w:sz w:val="26"/>
          <w:szCs w:val="26"/>
        </w:rPr>
        <w:t xml:space="preserve">4.1   The enquiry lands</w:t>
      </w:r>
    </w:p>
    <w:p>
      <w:pPr>
        <w:spacing w:after="160" w:line="288"/>
      </w:pPr>
      <w:r>
        <w:rPr>
          <w:rFonts w:ascii="Calibri" w:cs="Calibri" w:eastAsia="Calibri" w:hAnsi="Calibri"/>
          <w:sz w:val="22"/>
          <w:szCs w:val="22"/>
        </w:rPr>
        <w:t xml:space="preserve">No new patient enquiry sits unattended, whatever channel it came through, and the TCO knows about it without anyone telling them.</w:t>
      </w:r>
    </w:p>
    <w:p>
      <w:pPr>
        <w:pStyle w:val="ListParagraph"/>
        <w:numPr>
          <w:ilvl w:val="0"/>
          <w:numId w:val="2"/>
        </w:numPr>
        <w:spacing w:after="100" w:line="288"/>
      </w:pPr>
      <w:r>
        <w:rPr>
          <w:rFonts w:ascii="Calibri" w:cs="Calibri" w:eastAsia="Calibri" w:hAnsi="Calibri"/>
          <w:sz w:val="22"/>
          <w:szCs w:val="22"/>
        </w:rPr>
        <w:t xml:space="preserve">New patient calls route to the TCO, not to the general reception line.</w:t>
      </w:r>
    </w:p>
    <w:p>
      <w:pPr>
        <w:pStyle w:val="ListParagraph"/>
        <w:numPr>
          <w:ilvl w:val="0"/>
          <w:numId w:val="2"/>
        </w:numPr>
        <w:spacing w:after="100" w:line="288"/>
      </w:pPr>
      <w:r>
        <w:rPr>
          <w:rFonts w:ascii="Calibri" w:cs="Calibri" w:eastAsia="Calibri" w:hAnsi="Calibri"/>
          <w:sz w:val="22"/>
          <w:szCs w:val="22"/>
        </w:rPr>
        <w:t xml:space="preserve">The TCO runs Boxley live in the background all day and works the queue continuously, not in batches.</w:t>
      </w:r>
    </w:p>
    <w:p>
      <w:pPr>
        <w:pStyle w:val="ListParagraph"/>
        <w:numPr>
          <w:ilvl w:val="0"/>
          <w:numId w:val="2"/>
        </w:numPr>
        <w:spacing w:after="100" w:line="288"/>
      </w:pPr>
      <w:r>
        <w:rPr>
          <w:rFonts w:ascii="Calibri" w:cs="Calibri" w:eastAsia="Calibri" w:hAnsi="Calibri"/>
          <w:sz w:val="22"/>
          <w:szCs w:val="22"/>
        </w:rPr>
        <w:t xml:space="preserve">Website forms, chat, social, and referrals from other practices all land in the same queue and are treated the same.</w:t>
      </w:r>
    </w:p>
    <w:p>
      <w:pPr>
        <w:pStyle w:val="ListParagraph"/>
        <w:numPr>
          <w:ilvl w:val="0"/>
          <w:numId w:val="2"/>
        </w:numPr>
        <w:spacing w:after="100" w:line="288"/>
      </w:pPr>
      <w:r>
        <w:rPr>
          <w:rFonts w:ascii="Calibri" w:cs="Calibri" w:eastAsia="Calibri" w:hAnsi="Calibri"/>
          <w:sz w:val="22"/>
          <w:szCs w:val="22"/>
        </w:rPr>
        <w:t xml:space="preserve">Referral source captured every time. It matters twice over: case acceptance is much higher on practice referrals than on cold marketing, and knowing it changes how the call is opened.</w:t>
      </w:r>
    </w:p>
    <w:p>
      <w:pPr>
        <w:spacing w:after="160" w:line="288"/>
      </w:pPr>
      <w:r>
        <w:rPr>
          <w:rFonts w:ascii="Calibri" w:cs="Calibri" w:eastAsia="Calibri" w:hAnsi="Calibri"/>
          <w:b/>
          <w:bCs/>
          <w:sz w:val="22"/>
          <w:szCs w:val="22"/>
        </w:rPr>
        <w:t xml:space="preserve">The standard: first response within 20 minutes, and sooner is better.</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New patient calls being routed away from reception is a genuine operational change, and it needs a phone system change to support it.</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Q3  </w:t>
      </w:r>
      <w:r>
        <w:rPr>
          <w:rFonts w:ascii="Calibri" w:cs="Calibri" w:eastAsia="Calibri" w:hAnsi="Calibri"/>
          <w:sz w:val="22"/>
          <w:szCs w:val="22"/>
        </w:rPr>
        <w:t xml:space="preserve">Reception currently works to a </w:t>
      </w:r>
      <w:r>
        <w:rPr>
          <w:rFonts w:ascii="Calibri" w:cs="Calibri" w:eastAsia="Calibri" w:hAnsi="Calibri"/>
          <w:b/>
          <w:bCs/>
          <w:sz w:val="22"/>
          <w:szCs w:val="22"/>
        </w:rPr>
        <w:t xml:space="preserve">10 minute</w:t>
      </w:r>
      <w:r>
        <w:rPr>
          <w:rFonts w:ascii="Calibri" w:cs="Calibri" w:eastAsia="Calibri" w:hAnsi="Calibri"/>
          <w:sz w:val="22"/>
          <w:szCs w:val="22"/>
        </w:rPr>
        <w:t xml:space="preserve"> standard on Boxley enquiries. Bobby said </w:t>
      </w:r>
      <w:r>
        <w:rPr>
          <w:rFonts w:ascii="Calibri" w:cs="Calibri" w:eastAsia="Calibri" w:hAnsi="Calibri"/>
          <w:b/>
          <w:bCs/>
          <w:sz w:val="22"/>
          <w:szCs w:val="22"/>
        </w:rPr>
        <w:t xml:space="preserve">20 minutes</w:t>
      </w:r>
      <w:r>
        <w:rPr>
          <w:rFonts w:ascii="Calibri" w:cs="Calibri" w:eastAsia="Calibri" w:hAnsi="Calibri"/>
          <w:sz w:val="22"/>
          <w:szCs w:val="22"/>
        </w:rPr>
        <w:t xml:space="preserve"> for the TCO. Two live numbers for the same behaviour is how a standard quietly dies. Which is it?</w:t>
      </w:r>
    </w:p>
    <w:p>
      <w:pPr>
        <w:pStyle w:val="Heading2"/>
        <w:spacing w:after="140" w:before="320"/>
      </w:pPr>
      <w:r>
        <w:rPr>
          <w:rFonts w:ascii="Calibri" w:cs="Calibri" w:eastAsia="Calibri" w:hAnsi="Calibri"/>
          <w:b/>
          <w:bCs/>
          <w:color w:val="000000"/>
          <w:sz w:val="26"/>
          <w:szCs w:val="26"/>
        </w:rPr>
        <w:t xml:space="preserve">4.2   The first call</w:t>
      </w:r>
    </w:p>
    <w:p>
      <w:pPr>
        <w:spacing w:after="160" w:line="288"/>
      </w:pPr>
      <w:r>
        <w:rPr>
          <w:rFonts w:ascii="Calibri" w:cs="Calibri" w:eastAsia="Calibri" w:hAnsi="Calibri"/>
          <w:sz w:val="22"/>
          <w:szCs w:val="22"/>
        </w:rPr>
        <w:t xml:space="preserve">The purpose of this call is not to answer the patient’s question. It is to build enough rapport that they want to come in, and to find out enough that the TCO can prepare properly.</w:t>
      </w:r>
    </w:p>
    <w:p>
      <w:pPr>
        <w:pStyle w:val="ListParagraph"/>
        <w:numPr>
          <w:ilvl w:val="0"/>
          <w:numId w:val="2"/>
        </w:numPr>
        <w:spacing w:after="100" w:line="288"/>
      </w:pPr>
      <w:r>
        <w:rPr>
          <w:rFonts w:ascii="Calibri" w:cs="Calibri" w:eastAsia="Calibri" w:hAnsi="Calibri"/>
          <w:sz w:val="22"/>
          <w:szCs w:val="22"/>
        </w:rPr>
        <w:t xml:space="preserve">The TCO rings. By phone, deliberately, not by message.</w:t>
      </w:r>
    </w:p>
    <w:p>
      <w:pPr>
        <w:pStyle w:val="ListParagraph"/>
        <w:numPr>
          <w:ilvl w:val="0"/>
          <w:numId w:val="2"/>
        </w:numPr>
        <w:spacing w:after="100" w:line="288"/>
      </w:pPr>
      <w:r>
        <w:rPr>
          <w:rFonts w:ascii="Calibri" w:cs="Calibri" w:eastAsia="Calibri" w:hAnsi="Calibri"/>
          <w:sz w:val="22"/>
          <w:szCs w:val="22"/>
        </w:rPr>
        <w:t xml:space="preserve">Name and practice, then straight into discovery.</w:t>
      </w:r>
    </w:p>
    <w:p>
      <w:pPr>
        <w:pStyle w:val="ListParagraph"/>
        <w:numPr>
          <w:ilvl w:val="0"/>
          <w:numId w:val="2"/>
        </w:numPr>
        <w:spacing w:after="100" w:line="288"/>
      </w:pPr>
      <w:r>
        <w:rPr>
          <w:rFonts w:ascii="Calibri" w:cs="Calibri" w:eastAsia="Calibri" w:hAnsi="Calibri"/>
          <w:sz w:val="22"/>
          <w:szCs w:val="22"/>
        </w:rPr>
        <w:t xml:space="preserve">Ask, listen more than you talk, and find out: what is going on, is it for them, what happened, </w:t>
      </w:r>
      <w:r>
        <w:rPr>
          <w:rFonts w:ascii="Calibri" w:cs="Calibri" w:eastAsia="Calibri" w:hAnsi="Calibri"/>
          <w:b/>
          <w:bCs/>
          <w:sz w:val="22"/>
          <w:szCs w:val="22"/>
        </w:rPr>
        <w:t xml:space="preserve">why now,</w:t>
      </w:r>
      <w:r>
        <w:rPr>
          <w:rFonts w:ascii="Calibri" w:cs="Calibri" w:eastAsia="Calibri" w:hAnsi="Calibri"/>
          <w:sz w:val="22"/>
          <w:szCs w:val="22"/>
        </w:rPr>
        <w:t xml:space="preserve"> and </w:t>
      </w:r>
      <w:r>
        <w:rPr>
          <w:rFonts w:ascii="Calibri" w:cs="Calibri" w:eastAsia="Calibri" w:hAnsi="Calibri"/>
          <w:b/>
          <w:bCs/>
          <w:sz w:val="22"/>
          <w:szCs w:val="22"/>
        </w:rPr>
        <w:t xml:space="preserve">why us.</w:t>
      </w:r>
    </w:p>
    <w:p>
      <w:pPr>
        <w:pStyle w:val="ListParagraph"/>
        <w:numPr>
          <w:ilvl w:val="0"/>
          <w:numId w:val="2"/>
        </w:numPr>
        <w:spacing w:after="100" w:line="288"/>
      </w:pPr>
      <w:r>
        <w:rPr>
          <w:rFonts w:ascii="Calibri" w:cs="Calibri" w:eastAsia="Calibri" w:hAnsi="Calibri"/>
          <w:sz w:val="22"/>
          <w:szCs w:val="22"/>
        </w:rPr>
        <w:t xml:space="preserve">The whole call is captured through VoiceStack, hands free, straight into the record. The TCO is not typing while the patient talks.</w:t>
      </w:r>
    </w:p>
    <w:p>
      <w:pPr>
        <w:pStyle w:val="ListParagraph"/>
        <w:numPr>
          <w:ilvl w:val="0"/>
          <w:numId w:val="2"/>
        </w:numPr>
        <w:spacing w:after="100" w:line="288"/>
      </w:pPr>
      <w:r>
        <w:rPr>
          <w:rFonts w:ascii="Calibri" w:cs="Calibri" w:eastAsia="Calibri" w:hAnsi="Calibri"/>
          <w:sz w:val="22"/>
          <w:szCs w:val="22"/>
        </w:rPr>
        <w:t xml:space="preserve">If it came in through Boxley, one click creates the CareStack record and the TCO adds the address and the last few details.</w:t>
      </w:r>
    </w:p>
    <w:p>
      <w:pPr>
        <w:pStyle w:val="ListParagraph"/>
        <w:numPr>
          <w:ilvl w:val="0"/>
          <w:numId w:val="2"/>
        </w:numPr>
        <w:spacing w:after="100" w:line="288"/>
      </w:pPr>
      <w:r>
        <w:rPr>
          <w:rFonts w:ascii="Calibri" w:cs="Calibri" w:eastAsia="Calibri" w:hAnsi="Calibri"/>
          <w:sz w:val="22"/>
          <w:szCs w:val="22"/>
        </w:rPr>
        <w:t xml:space="preserve">Book the consultation and take the </w:t>
      </w:r>
      <w:r>
        <w:rPr>
          <w:rFonts w:ascii="Calibri" w:cs="Calibri" w:eastAsia="Calibri" w:hAnsi="Calibri"/>
          <w:b/>
          <w:bCs/>
          <w:sz w:val="22"/>
          <w:szCs w:val="22"/>
        </w:rPr>
        <w:t xml:space="preserve">£35 refundable deposit.</w:t>
      </w:r>
      <w:r>
        <w:rPr>
          <w:rFonts w:ascii="Calibri" w:cs="Calibri" w:eastAsia="Calibri" w:hAnsi="Calibri"/>
          <w:sz w:val="22"/>
          <w:szCs w:val="22"/>
        </w:rPr>
        <w:t xml:space="preserve"> The consultation itself is free. The deposit protects the diary, and it is why Avenue’s no-show rate is as low as it is.</w:t>
      </w:r>
    </w:p>
    <w:p>
      <w:pPr>
        <w:pStyle w:val="ListParagraph"/>
        <w:numPr>
          <w:ilvl w:val="0"/>
          <w:numId w:val="2"/>
        </w:numPr>
        <w:spacing w:after="100" w:line="288"/>
      </w:pPr>
      <w:r>
        <w:rPr>
          <w:rFonts w:ascii="Calibri" w:cs="Calibri" w:eastAsia="Calibri" w:hAnsi="Calibri"/>
          <w:sz w:val="22"/>
          <w:szCs w:val="22"/>
        </w:rPr>
        <w:t xml:space="preserve">Book them in as soon as they can come. There is no minimum lead time. Sooner is always better.</w:t>
      </w:r>
    </w:p>
    <w:p>
      <w:pPr>
        <w:spacing w:after="160" w:line="288"/>
      </w:pPr>
      <w:r>
        <w:rPr>
          <w:rFonts w:ascii="Calibri" w:cs="Calibri" w:eastAsia="Calibri" w:hAnsi="Calibri"/>
          <w:b/>
          <w:bCs/>
          <w:sz w:val="22"/>
          <w:szCs w:val="22"/>
        </w:rPr>
        <w:t xml:space="preserve">What good sounds like,</w:t>
      </w:r>
      <w:r>
        <w:rPr>
          <w:rFonts w:ascii="Calibri" w:cs="Calibri" w:eastAsia="Calibri" w:hAnsi="Calibri"/>
          <w:sz w:val="22"/>
          <w:szCs w:val="22"/>
        </w:rPr>
        <w:t xml:space="preserve"> when someone opens with “how much is an implant”:</w:t>
      </w:r>
    </w:p>
    <w:p>
      <w:pPr>
        <w:pBdr>
          <w:left w:val="single" w:color="BFBFBF" w:sz="12" w:space="12"/>
        </w:pBdr>
        <w:spacing w:after="160" w:before="120" w:line="288"/>
        <w:ind w:left="480"/>
      </w:pPr>
      <w:r>
        <w:rPr>
          <w:rFonts w:ascii="Calibri" w:cs="Calibri" w:eastAsia="Calibri" w:hAnsi="Calibri"/>
          <w:i/>
          <w:iCs/>
          <w:color w:val="3F3F3F"/>
          <w:sz w:val="22"/>
          <w:szCs w:val="22"/>
        </w:rPr>
        <w:t xml:space="preserve">“Thanks so much for getting in touch, Mr Smith. Before I answer that, can you tell me a bit more about what’s going on? Is it for yourself? Have you lost a tooth?”</w:t>
      </w:r>
    </w:p>
    <w:p>
      <w:pPr>
        <w:spacing w:after="160" w:line="288"/>
      </w:pPr>
      <w:r>
        <w:rPr>
          <w:rFonts w:ascii="Calibri" w:cs="Calibri" w:eastAsia="Calibri" w:hAnsi="Calibri"/>
          <w:b/>
          <w:bCs/>
          <w:sz w:val="22"/>
          <w:szCs w:val="22"/>
        </w:rPr>
        <w:t xml:space="preserve">What it must never sound like:</w:t>
      </w:r>
    </w:p>
    <w:p>
      <w:pPr>
        <w:pBdr>
          <w:left w:val="single" w:color="BFBFBF" w:sz="12" w:space="12"/>
        </w:pBdr>
        <w:spacing w:after="160" w:before="120" w:line="288"/>
        <w:ind w:left="480"/>
      </w:pPr>
      <w:r>
        <w:rPr>
          <w:rFonts w:ascii="Calibri" w:cs="Calibri" w:eastAsia="Calibri" w:hAnsi="Calibri"/>
          <w:i/>
          <w:iCs/>
          <w:color w:val="3F3F3F"/>
          <w:sz w:val="22"/>
          <w:szCs w:val="22"/>
        </w:rPr>
        <w:t xml:space="preserve">“Our implants start from £X.”</w:t>
      </w:r>
    </w:p>
    <w:p>
      <w:pPr>
        <w:spacing w:after="160" w:line="288"/>
      </w:pPr>
      <w:r>
        <w:rPr>
          <w:rFonts w:ascii="Calibri" w:cs="Calibri" w:eastAsia="Calibri" w:hAnsi="Calibri"/>
          <w:b/>
          <w:bCs/>
          <w:sz w:val="22"/>
          <w:szCs w:val="22"/>
        </w:rPr>
        <w:t xml:space="preserve">The rule: prices are not quoted on the phone.</w:t>
      </w:r>
      <w:r>
        <w:rPr>
          <w:rFonts w:ascii="Calibri" w:cs="Calibri" w:eastAsia="Calibri" w:hAnsi="Calibri"/>
          <w:sz w:val="22"/>
          <w:szCs w:val="22"/>
        </w:rPr>
        <w:t xml:space="preserve"> If a number comes up at all it is the last thing in the conversation, not the first. The honest answer is that the dentist needs to look at it properly.</w:t>
      </w:r>
    </w:p>
    <w:p>
      <w:pPr>
        <w:pStyle w:val="Heading2"/>
        <w:spacing w:after="140" w:before="320"/>
      </w:pPr>
      <w:r>
        <w:rPr>
          <w:rFonts w:ascii="Calibri" w:cs="Calibri" w:eastAsia="Calibri" w:hAnsi="Calibri"/>
          <w:b/>
          <w:bCs/>
          <w:color w:val="000000"/>
          <w:sz w:val="26"/>
          <w:szCs w:val="26"/>
        </w:rPr>
        <w:t xml:space="preserve">4.3   Getting ready for the visit</w:t>
      </w:r>
    </w:p>
    <w:p>
      <w:pPr>
        <w:spacing w:after="160" w:line="288"/>
      </w:pPr>
      <w:r>
        <w:rPr>
          <w:rFonts w:ascii="Calibri" w:cs="Calibri" w:eastAsia="Calibri" w:hAnsi="Calibri"/>
          <w:sz w:val="22"/>
          <w:szCs w:val="22"/>
        </w:rPr>
        <w:t xml:space="preserve">The patient should arrive to find that we already know them.</w:t>
      </w:r>
    </w:p>
    <w:p>
      <w:pPr>
        <w:pStyle w:val="Heading3"/>
        <w:spacing w:after="120" w:before="240"/>
      </w:pPr>
      <w:r>
        <w:rPr>
          <w:rFonts w:ascii="Calibri" w:cs="Calibri" w:eastAsia="Calibri" w:hAnsi="Calibri"/>
          <w:b/>
          <w:bCs/>
          <w:color w:val="595959"/>
          <w:sz w:val="23"/>
          <w:szCs w:val="23"/>
        </w:rPr>
        <w:t xml:space="preserve">Forms</w:t>
      </w:r>
    </w:p>
    <w:p>
      <w:pPr>
        <w:spacing w:after="160" w:line="288"/>
      </w:pPr>
      <w:r>
        <w:rPr>
          <w:rFonts w:ascii="Calibri" w:cs="Calibri" w:eastAsia="Calibri" w:hAnsi="Calibri"/>
          <w:sz w:val="22"/>
          <w:szCs w:val="22"/>
        </w:rPr>
        <w:t xml:space="preserve">Medical history plus a pre-consultation questionnaire go out automatically through CareStack. The TCO does not send them, but the TCO is accountable for them being </w:t>
      </w:r>
      <w:r>
        <w:rPr>
          <w:rFonts w:ascii="Calibri" w:cs="Calibri" w:eastAsia="Calibri" w:hAnsi="Calibri"/>
          <w:b/>
          <w:bCs/>
          <w:sz w:val="22"/>
          <w:szCs w:val="22"/>
        </w:rPr>
        <w:t xml:space="preserve">completed and confirmed 48 hours before the appointment.</w:t>
      </w:r>
    </w:p>
    <w:p>
      <w:pPr>
        <w:spacing w:after="160" w:line="288"/>
      </w:pPr>
      <w:r>
        <w:rPr>
          <w:rFonts w:ascii="Calibri" w:cs="Calibri" w:eastAsia="Calibri" w:hAnsi="Calibri"/>
          <w:sz w:val="22"/>
          <w:szCs w:val="22"/>
        </w:rPr>
        <w:t xml:space="preserve">The form is not admin, it is the discovery instrument. British patients disclose far more in writing than they will say out loud, so the form is what lets the TCO open with “I see here you said…” and get to the real answer. That was one of the sharpest points in the original conversation and it should survive into the training.</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Avenue has one generic smile makeover questionnaire today, plus some anxiety questions. The target is a set of them, split by what the patient is actually coming in about: implants, smile makeover, general dentistry, and anxiety or sedation.</w:t>
      </w:r>
    </w:p>
    <w:p>
      <w:pPr>
        <w:pStyle w:val="Heading3"/>
        <w:spacing w:after="120" w:before="240"/>
      </w:pPr>
      <w:r>
        <w:rPr>
          <w:rFonts w:ascii="Calibri" w:cs="Calibri" w:eastAsia="Calibri" w:hAnsi="Calibri"/>
          <w:b/>
          <w:bCs/>
          <w:color w:val="595959"/>
          <w:sz w:val="23"/>
          <w:szCs w:val="23"/>
        </w:rPr>
        <w:t xml:space="preserve">The welcome pack</w:t>
      </w:r>
    </w:p>
    <w:p>
      <w:pPr>
        <w:spacing w:after="160" w:line="288"/>
      </w:pPr>
      <w:r>
        <w:rPr>
          <w:rFonts w:ascii="Calibri" w:cs="Calibri" w:eastAsia="Calibri" w:hAnsi="Calibri"/>
          <w:sz w:val="22"/>
          <w:szCs w:val="22"/>
        </w:rPr>
        <w:t xml:space="preserve">Avenue used to post a physical welcome pack and stopped on cost. Bobby wants it back, treatment specific, with a personal handwritten note. The TCO writes the note, reception posts it.</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Q4  </w:t>
      </w:r>
      <w:r>
        <w:rPr>
          <w:rFonts w:ascii="Calibri" w:cs="Calibri" w:eastAsia="Calibri" w:hAnsi="Calibri"/>
          <w:sz w:val="22"/>
          <w:szCs w:val="22"/>
        </w:rPr>
        <w:t xml:space="preserve">What is the lead time rule? If the patient is coming tomorrow then they are coming tomorrow, and that is better. So at what point out does the pack go?</w:t>
      </w:r>
    </w:p>
    <w:p>
      <w:pPr>
        <w:pStyle w:val="Heading3"/>
        <w:spacing w:after="120" w:before="240"/>
      </w:pPr>
      <w:r>
        <w:rPr>
          <w:rFonts w:ascii="Calibri" w:cs="Calibri" w:eastAsia="Calibri" w:hAnsi="Calibri"/>
          <w:b/>
          <w:bCs/>
          <w:color w:val="595959"/>
          <w:sz w:val="23"/>
          <w:szCs w:val="23"/>
        </w:rPr>
        <w:t xml:space="preserve">The preparation</w:t>
      </w:r>
    </w:p>
    <w:p>
      <w:pPr>
        <w:spacing w:after="160" w:line="288"/>
      </w:pPr>
      <w:r>
        <w:rPr>
          <w:rFonts w:ascii="Calibri" w:cs="Calibri" w:eastAsia="Calibri" w:hAnsi="Calibri"/>
          <w:sz w:val="22"/>
          <w:szCs w:val="22"/>
        </w:rPr>
        <w:t xml:space="preserve">Before the appointment the TCO builds a short written profile of the patient from the call recording and the completed forms. Bobby’s description was that you should be able to say: we have not seen this patient yet, but based on what they have told us, this is what they need.</w:t>
      </w:r>
    </w:p>
    <w:tbl>
      <w:tblPr>
        <w:tblW w:type="dxa" w:w="9026"/>
        <w:tblBorders>
          <w:top w:val="single" w:color="D0D7DE" w:sz="2"/>
          <w:left w:val="single" w:color="D0D7DE" w:sz="2"/>
          <w:bottom w:val="single" w:color="D0D7DE" w:sz="2"/>
          <w:right w:val="single" w:color="D0D7DE" w:sz="2"/>
          <w:insideH w:val="single" w:color="D0D7DE" w:sz="2"/>
          <w:insideV w:val="single" w:color="D0D7DE" w:sz="2"/>
        </w:tblBorders>
      </w:tblPr>
      <w:tblGrid>
        <w:gridCol w:w="3200"/>
        <w:gridCol w:w="5826"/>
      </w:tblGrid>
      <w:tr>
        <w:trPr>
          <w:tblHeader/>
        </w:trPr>
        <w:tc>
          <w:tcPr>
            <w:tcW w:type="dxa" w:w="3200"/>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The profile covers</w:t>
            </w:r>
          </w:p>
        </w:tc>
        <w:tc>
          <w:tcPr>
            <w:tcW w:type="dxa" w:w="5826"/>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Why it matters</w:t>
            </w:r>
          </w:p>
        </w:tc>
      </w:tr>
      <w:tr>
        <w:tc>
          <w:tcPr>
            <w:tcW w:type="dxa" w:w="32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Likely procedures</w:t>
            </w:r>
          </w:p>
        </w:tc>
        <w:tc>
          <w:tcPr>
            <w:tcW w:type="dxa" w:w="58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Sets the vocabulary the TCO needs for the day</w:t>
            </w:r>
          </w:p>
        </w:tc>
      </w:tr>
      <w:tr>
        <w:tc>
          <w:tcPr>
            <w:tcW w:type="dxa" w:w="32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Ballpark investment range</w:t>
            </w:r>
          </w:p>
        </w:tc>
        <w:tc>
          <w:tcPr>
            <w:tcW w:type="dxa" w:w="58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The TCO has to be ready with a figure. See 4.6.</w:t>
            </w:r>
          </w:p>
        </w:tc>
      </w:tr>
      <w:tr>
        <w:tc>
          <w:tcPr>
            <w:tcW w:type="dxa" w:w="32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The patient’s stated priority</w:t>
            </w:r>
          </w:p>
        </w:tc>
        <w:tc>
          <w:tcPr>
            <w:tcW w:type="dxa" w:w="58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This is what the entire close hangs on</w:t>
            </w:r>
          </w:p>
        </w:tc>
      </w:tr>
      <w:tr>
        <w:tc>
          <w:tcPr>
            <w:tcW w:type="dxa" w:w="32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Why now</w:t>
            </w:r>
          </w:p>
        </w:tc>
        <w:tc>
          <w:tcPr>
            <w:tcW w:type="dxa" w:w="58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The thing that made them pick up the phone this week</w:t>
            </w:r>
          </w:p>
        </w:tc>
      </w:tr>
      <w:tr>
        <w:tc>
          <w:tcPr>
            <w:tcW w:type="dxa" w:w="32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Why us</w:t>
            </w:r>
          </w:p>
        </w:tc>
        <w:tc>
          <w:tcPr>
            <w:tcW w:type="dxa" w:w="58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Referral, recommendation, social. Changes how you open.</w:t>
            </w:r>
          </w:p>
        </w:tc>
      </w:tr>
      <w:tr>
        <w:tc>
          <w:tcPr>
            <w:tcW w:type="dxa" w:w="32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How much detail they want</w:t>
            </w:r>
          </w:p>
        </w:tc>
        <w:tc>
          <w:tcPr>
            <w:tcW w:type="dxa" w:w="58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Some patients want the thread diameter. Some want to be told it is sorted.</w:t>
            </w:r>
          </w:p>
        </w:tc>
      </w:tr>
    </w:tbl>
    <w:p>
      <w:pPr>
        <w:spacing w:after="160"/>
      </w:pPr>
      <w:r>
        <w:rPr>
          <w:sz w:val="12"/>
          <w:szCs w:val="12"/>
        </w:rPr>
        <w:t xml:space="preserve"/>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Nothing exists for this today. It could be a one page worksheet the TCO fills in by hand, or an AI step that reads the call transcript and the forms and drafts it for the TCO to correct. There is a real argument for the worksheet first, because it forces the TCO to actually read the transcript rather than be handed a summary.</w:t>
      </w:r>
    </w:p>
    <w:p>
      <w:pPr>
        <w:spacing w:after="160" w:line="288"/>
      </w:pPr>
      <w:r>
        <w:rPr>
          <w:rFonts w:ascii="Calibri" w:cs="Calibri" w:eastAsia="Calibri" w:hAnsi="Calibri"/>
          <w:b/>
          <w:bCs/>
          <w:sz w:val="22"/>
          <w:szCs w:val="22"/>
        </w:rPr>
        <w:t xml:space="preserve">48 hours out,</w:t>
      </w:r>
      <w:r>
        <w:rPr>
          <w:rFonts w:ascii="Calibri" w:cs="Calibri" w:eastAsia="Calibri" w:hAnsi="Calibri"/>
          <w:sz w:val="22"/>
          <w:szCs w:val="22"/>
        </w:rPr>
        <w:t xml:space="preserve"> a personal WhatsApp from the TCO. Not an automated reminder.</w:t>
      </w:r>
    </w:p>
    <w:p>
      <w:pPr>
        <w:pBdr>
          <w:left w:val="single" w:color="BFBFBF" w:sz="12" w:space="12"/>
        </w:pBdr>
        <w:spacing w:after="160" w:before="120" w:line="288"/>
        <w:ind w:left="480"/>
      </w:pPr>
      <w:r>
        <w:rPr>
          <w:rFonts w:ascii="Calibri" w:cs="Calibri" w:eastAsia="Calibri" w:hAnsi="Calibri"/>
          <w:i/>
          <w:iCs/>
          <w:color w:val="3F3F3F"/>
          <w:sz w:val="22"/>
          <w:szCs w:val="22"/>
        </w:rPr>
        <w:t xml:space="preserve">“Looking forward to seeing you Thursday. You’ve got my number, anything at all, ring me directly.”</w:t>
      </w:r>
    </w:p>
    <w:p>
      <w:pPr>
        <w:pStyle w:val="Heading2"/>
        <w:spacing w:after="140" w:before="320"/>
      </w:pPr>
      <w:r>
        <w:rPr>
          <w:rFonts w:ascii="Calibri" w:cs="Calibri" w:eastAsia="Calibri" w:hAnsi="Calibri"/>
          <w:b/>
          <w:bCs/>
          <w:color w:val="000000"/>
          <w:sz w:val="26"/>
          <w:szCs w:val="26"/>
        </w:rPr>
        <w:t xml:space="preserve">4.4   Arrival</w:t>
      </w:r>
    </w:p>
    <w:p>
      <w:pPr>
        <w:spacing w:after="160" w:line="288"/>
      </w:pPr>
      <w:r>
        <w:rPr>
          <w:rFonts w:ascii="Calibri" w:cs="Calibri" w:eastAsia="Calibri" w:hAnsi="Calibri"/>
          <w:sz w:val="22"/>
          <w:szCs w:val="22"/>
        </w:rPr>
        <w:t xml:space="preserve">The person the patient has been speaking to is the person who meets them.</w:t>
      </w:r>
    </w:p>
    <w:p>
      <w:pPr>
        <w:pStyle w:val="ListParagraph"/>
        <w:numPr>
          <w:ilvl w:val="0"/>
          <w:numId w:val="2"/>
        </w:numPr>
        <w:spacing w:after="100" w:line="288"/>
      </w:pPr>
      <w:r>
        <w:rPr>
          <w:rFonts w:ascii="Calibri" w:cs="Calibri" w:eastAsia="Calibri" w:hAnsi="Calibri"/>
          <w:sz w:val="22"/>
          <w:szCs w:val="22"/>
        </w:rPr>
        <w:t xml:space="preserve">Reception may check them in, but the </w:t>
      </w:r>
      <w:r>
        <w:rPr>
          <w:rFonts w:ascii="Calibri" w:cs="Calibri" w:eastAsia="Calibri" w:hAnsi="Calibri"/>
          <w:b/>
          <w:bCs/>
          <w:sz w:val="22"/>
          <w:szCs w:val="22"/>
        </w:rPr>
        <w:t xml:space="preserve">TCO meets and greets.</w:t>
      </w:r>
    </w:p>
    <w:p>
      <w:pPr>
        <w:pStyle w:val="ListParagraph"/>
        <w:numPr>
          <w:ilvl w:val="0"/>
          <w:numId w:val="2"/>
        </w:numPr>
        <w:spacing w:after="100" w:line="288"/>
      </w:pPr>
      <w:r>
        <w:rPr>
          <w:rFonts w:ascii="Calibri" w:cs="Calibri" w:eastAsia="Calibri" w:hAnsi="Calibri"/>
          <w:sz w:val="22"/>
          <w:szCs w:val="22"/>
        </w:rPr>
        <w:t xml:space="preserve">A short tour of the practice.</w:t>
      </w:r>
    </w:p>
    <w:p>
      <w:pPr>
        <w:pStyle w:val="ListParagraph"/>
        <w:numPr>
          <w:ilvl w:val="0"/>
          <w:numId w:val="2"/>
        </w:numPr>
        <w:spacing w:after="100" w:line="288"/>
      </w:pPr>
      <w:r>
        <w:rPr>
          <w:rFonts w:ascii="Calibri" w:cs="Calibri" w:eastAsia="Calibri" w:hAnsi="Calibri"/>
          <w:sz w:val="22"/>
          <w:szCs w:val="22"/>
        </w:rPr>
        <w:t xml:space="preserve">Tea, coffee, water, offered before anything else.</w:t>
      </w:r>
    </w:p>
    <w:p>
      <w:pPr>
        <w:pStyle w:val="ListParagraph"/>
        <w:numPr>
          <w:ilvl w:val="0"/>
          <w:numId w:val="2"/>
        </w:numPr>
        <w:spacing w:after="100" w:line="288"/>
      </w:pPr>
      <w:r>
        <w:rPr>
          <w:rFonts w:ascii="Calibri" w:cs="Calibri" w:eastAsia="Calibri" w:hAnsi="Calibri"/>
          <w:b/>
          <w:bCs/>
          <w:sz w:val="22"/>
          <w:szCs w:val="22"/>
        </w:rPr>
        <w:t xml:space="preserve">The dentist cameo.</w:t>
      </w:r>
      <w:r>
        <w:rPr>
          <w:rFonts w:ascii="Calibri" w:cs="Calibri" w:eastAsia="Calibri" w:hAnsi="Calibri"/>
          <w:sz w:val="22"/>
          <w:szCs w:val="22"/>
        </w:rPr>
        <w:t xml:space="preserve"> If a dentist is free, ten seconds. “Lovely to meet you, hope to see you again soon.” Nothing more.</w:t>
      </w:r>
    </w:p>
    <w:p>
      <w:pPr>
        <w:spacing w:after="160" w:line="288"/>
      </w:pPr>
      <w:r>
        <w:rPr>
          <w:rFonts w:ascii="Calibri" w:cs="Calibri" w:eastAsia="Calibri" w:hAnsi="Calibri"/>
          <w:sz w:val="22"/>
          <w:szCs w:val="22"/>
        </w:rPr>
        <w:t xml:space="preserve">The cameo costs nothing and does a specific job. Later, when the TCO says “Dr Bhandal will want to look at this,” the patient has a face for the name. It stops the dentist being an abstraction the patient is being sold to. It is a nice to have, never a priority, and no dentist should be pulled out of a surgery for it.</w:t>
      </w:r>
    </w:p>
    <w:p>
      <w:pPr>
        <w:pStyle w:val="Heading2"/>
        <w:spacing w:after="140" w:before="320"/>
      </w:pPr>
      <w:r>
        <w:rPr>
          <w:rFonts w:ascii="Calibri" w:cs="Calibri" w:eastAsia="Calibri" w:hAnsi="Calibri"/>
          <w:b/>
          <w:bCs/>
          <w:color w:val="000000"/>
          <w:sz w:val="26"/>
          <w:szCs w:val="26"/>
        </w:rPr>
        <w:t xml:space="preserve">4.5   The consultation</w:t>
      </w:r>
    </w:p>
    <w:p>
      <w:pPr>
        <w:spacing w:after="160" w:line="288"/>
      </w:pPr>
      <w:r>
        <w:rPr>
          <w:rFonts w:ascii="Calibri" w:cs="Calibri" w:eastAsia="Calibri" w:hAnsi="Calibri"/>
          <w:sz w:val="22"/>
          <w:szCs w:val="22"/>
        </w:rPr>
        <w:t xml:space="preserve">Nobody opens their mouth until they know why they are here, who we are, and what is about to happen. Conversation first, always. You do not take someone into a room and say “open up, I’m going to scan you.”</w:t>
      </w:r>
    </w:p>
    <w:p>
      <w:pPr>
        <w:spacing w:after="160" w:line="288"/>
      </w:pPr>
      <w:r>
        <w:rPr>
          <w:rFonts w:ascii="Calibri" w:cs="Calibri" w:eastAsia="Calibri" w:hAnsi="Calibri"/>
          <w:b/>
          <w:bCs/>
          <w:sz w:val="22"/>
          <w:szCs w:val="22"/>
        </w:rPr>
        <w:t xml:space="preserve">The room needs:</w:t>
      </w:r>
      <w:r>
        <w:rPr>
          <w:rFonts w:ascii="Calibri" w:cs="Calibri" w:eastAsia="Calibri" w:hAnsi="Calibri"/>
          <w:sz w:val="22"/>
          <w:szCs w:val="22"/>
        </w:rPr>
        <w:t xml:space="preserve"> an intraoral scanner, a clinical camera, a workstation, a screen on the wall, and a portfolio of before and afters plus video testimonials.</w:t>
      </w:r>
    </w:p>
    <w:p>
      <w:pPr>
        <w:spacing w:after="160" w:line="288"/>
      </w:pPr>
      <w:r>
        <w:rPr>
          <w:rFonts w:ascii="Calibri" w:cs="Calibri" w:eastAsia="Calibri" w:hAnsi="Calibri"/>
          <w:sz w:val="22"/>
          <w:szCs w:val="22"/>
        </w:rPr>
        <w:t xml:space="preserve">On the portfolio, the requirement is specific: the case you show has to </w:t>
      </w:r>
      <w:r>
        <w:rPr>
          <w:rFonts w:ascii="Calibri" w:cs="Calibri" w:eastAsia="Calibri" w:hAnsi="Calibri"/>
          <w:b/>
          <w:bCs/>
          <w:sz w:val="22"/>
          <w:szCs w:val="22"/>
        </w:rPr>
        <w:t xml:space="preserve">match the patient.</w:t>
      </w:r>
      <w:r>
        <w:rPr>
          <w:rFonts w:ascii="Calibri" w:cs="Calibri" w:eastAsia="Calibri" w:hAnsi="Calibri"/>
          <w:sz w:val="22"/>
          <w:szCs w:val="22"/>
        </w:rPr>
        <w:t xml:space="preserve"> A fifty year old English woman considering implants gets shown a fifty year old English woman, not a twenty year old. Demographic match is the point, not the size of the library.</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None of the portfolio or testimonial content exists yet, and the dedicated consultation rooms arrive with the upstairs build. Until then this runs in whatever private space is free, which caps how many guided patients Avenue can handle at once.</w:t>
      </w:r>
    </w:p>
    <w:p>
      <w:pPr>
        <w:spacing w:after="160" w:line="288"/>
      </w:pPr>
      <w:r>
        <w:rPr>
          <w:rFonts w:ascii="Calibri" w:cs="Calibri" w:eastAsia="Calibri" w:hAnsi="Calibri"/>
          <w:b/>
          <w:bCs/>
          <w:sz w:val="22"/>
          <w:szCs w:val="22"/>
        </w:rPr>
        <w:t xml:space="preserve">In order:</w:t>
      </w:r>
    </w:p>
    <w:p>
      <w:pPr>
        <w:pStyle w:val="ListParagraph"/>
        <w:numPr>
          <w:ilvl w:val="0"/>
          <w:numId w:val="3"/>
        </w:numPr>
        <w:spacing w:after="100" w:line="288"/>
      </w:pPr>
      <w:r>
        <w:rPr>
          <w:rFonts w:ascii="Calibri" w:cs="Calibri" w:eastAsia="Calibri" w:hAnsi="Calibri"/>
          <w:b/>
          <w:bCs/>
          <w:sz w:val="22"/>
          <w:szCs w:val="22"/>
        </w:rPr>
        <w:t xml:space="preserve">The practice manifesto.</w:t>
      </w:r>
      <w:r>
        <w:rPr>
          <w:rFonts w:ascii="Calibri" w:cs="Calibri" w:eastAsia="Calibri" w:hAnsi="Calibri"/>
          <w:sz w:val="22"/>
          <w:szCs w:val="22"/>
        </w:rPr>
        <w:t xml:space="preserve"> A short, warm statement of what Avenue believes and why the visit is built the way it is. Not a sales pitch. Closer to “here is the community you are joining.” Shape: </w:t>
      </w:r>
      <w:r>
        <w:rPr>
          <w:rFonts w:ascii="Calibri" w:cs="Calibri" w:eastAsia="Calibri" w:hAnsi="Calibri"/>
          <w:i/>
          <w:iCs/>
          <w:sz w:val="22"/>
          <w:szCs w:val="22"/>
        </w:rPr>
        <w:t xml:space="preserve">at Avenue we care a great deal about X, Y and Z, which is why we always do A, so that patients always feel B and never feel C.</w:t>
      </w:r>
    </w:p>
    <w:p>
      <w:pPr>
        <w:pStyle w:val="ListParagraph"/>
        <w:numPr>
          <w:ilvl w:val="0"/>
          <w:numId w:val="3"/>
        </w:numPr>
        <w:spacing w:after="100" w:line="288"/>
      </w:pPr>
      <w:r>
        <w:rPr>
          <w:rFonts w:ascii="Calibri" w:cs="Calibri" w:eastAsia="Calibri" w:hAnsi="Calibri"/>
          <w:b/>
          <w:bCs/>
          <w:sz w:val="22"/>
          <w:szCs w:val="22"/>
        </w:rPr>
        <w:t xml:space="preserve">The preview.</w:t>
      </w:r>
      <w:r>
        <w:rPr>
          <w:rFonts w:ascii="Calibri" w:cs="Calibri" w:eastAsia="Calibri" w:hAnsi="Calibri"/>
          <w:sz w:val="22"/>
          <w:szCs w:val="22"/>
        </w:rPr>
        <w:t xml:space="preserve"> Tell them what is about to happen, before it happens.</w:t>
      </w:r>
    </w:p>
    <w:p>
      <w:pPr>
        <w:pBdr>
          <w:left w:val="single" w:color="BFBFBF" w:sz="12" w:space="12"/>
        </w:pBdr>
        <w:spacing w:after="160" w:before="120" w:line="288"/>
        <w:ind w:left="480"/>
      </w:pPr>
      <w:r>
        <w:rPr>
          <w:rFonts w:ascii="Calibri" w:cs="Calibri" w:eastAsia="Calibri" w:hAnsi="Calibri"/>
          <w:i/>
          <w:iCs/>
          <w:color w:val="3F3F3F"/>
          <w:sz w:val="22"/>
          <w:szCs w:val="22"/>
        </w:rPr>
        <w:t xml:space="preserve">“So here’s how this’ll go. First we’re just going to have a chat, and I’m going to ask you a lot of questions. Then I’ll take some photos and a scan, because I need to see what’s actually going on. Then I’ll pop you back out for another cup of tea while I go through it all properly, and then we’ll sit back down and I’ll tell you exactly what I’ve found.”</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The manifesto and the preview were both added in our conversation rather than being how it works today. Flagging them so you can confirm you still want them, and so we know who writes the manifesto.</w:t>
      </w:r>
    </w:p>
    <w:p>
      <w:pPr>
        <w:pStyle w:val="ListParagraph"/>
        <w:numPr>
          <w:ilvl w:val="0"/>
          <w:numId w:val="3"/>
        </w:numPr>
        <w:spacing w:after="100" w:line="288"/>
      </w:pPr>
      <w:r>
        <w:rPr>
          <w:rFonts w:ascii="Calibri" w:cs="Calibri" w:eastAsia="Calibri" w:hAnsi="Calibri"/>
          <w:b/>
          <w:bCs/>
          <w:sz w:val="22"/>
          <w:szCs w:val="22"/>
        </w:rPr>
        <w:t xml:space="preserve">Discovery.</w:t>
      </w:r>
      <w:r>
        <w:rPr>
          <w:rFonts w:ascii="Calibri" w:cs="Calibri" w:eastAsia="Calibri" w:hAnsi="Calibri"/>
          <w:sz w:val="22"/>
          <w:szCs w:val="22"/>
        </w:rPr>
        <w:t xml:space="preserve"> Deeper than the phone call and anchored to the form. What they actually want out of this, and what they are afraid of. Aesthetics, function, confidence, pain relief.</w:t>
      </w:r>
    </w:p>
    <w:p>
      <w:pPr>
        <w:pStyle w:val="ListParagraph"/>
        <w:numPr>
          <w:ilvl w:val="0"/>
          <w:numId w:val="3"/>
        </w:numPr>
        <w:spacing w:after="100" w:line="288"/>
      </w:pPr>
      <w:r>
        <w:rPr>
          <w:rFonts w:ascii="Calibri" w:cs="Calibri" w:eastAsia="Calibri" w:hAnsi="Calibri"/>
          <w:b/>
          <w:bCs/>
          <w:sz w:val="22"/>
          <w:szCs w:val="22"/>
        </w:rPr>
        <w:t xml:space="preserve">The style question.</w:t>
      </w:r>
      <w:r>
        <w:rPr>
          <w:rFonts w:ascii="Calibri" w:cs="Calibri" w:eastAsia="Calibri" w:hAnsi="Calibri"/>
          <w:sz w:val="22"/>
          <w:szCs w:val="22"/>
        </w:rPr>
        <w:t xml:space="preserve"> Asked every time.</w:t>
      </w:r>
    </w:p>
    <w:p>
      <w:pPr>
        <w:pBdr>
          <w:left w:val="single" w:color="BFBFBF" w:sz="12" w:space="12"/>
        </w:pBdr>
        <w:spacing w:after="160" w:before="120" w:line="288"/>
        <w:ind w:left="480"/>
      </w:pPr>
      <w:r>
        <w:rPr>
          <w:rFonts w:ascii="Calibri" w:cs="Calibri" w:eastAsia="Calibri" w:hAnsi="Calibri"/>
          <w:i/>
          <w:iCs/>
          <w:color w:val="3F3F3F"/>
          <w:sz w:val="22"/>
          <w:szCs w:val="22"/>
        </w:rPr>
        <w:t xml:space="preserve">“Some people want to know every last detail, and some people would rather I just gave them the overview. Which are you?”</w:t>
      </w:r>
    </w:p>
    <w:p>
      <w:pPr>
        <w:spacing w:after="160" w:line="288"/>
      </w:pPr>
      <w:r>
        <w:rPr>
          <w:rFonts w:ascii="Calibri" w:cs="Calibri" w:eastAsia="Calibri" w:hAnsi="Calibri"/>
          <w:sz w:val="22"/>
          <w:szCs w:val="22"/>
        </w:rPr>
        <w:t xml:space="preserve">The only way to know is to ask, and getting it wrong in either direction costs the case.</w:t>
      </w:r>
    </w:p>
    <w:p>
      <w:pPr>
        <w:pStyle w:val="ListParagraph"/>
        <w:numPr>
          <w:ilvl w:val="0"/>
          <w:numId w:val="3"/>
        </w:numPr>
        <w:spacing w:after="100" w:line="288"/>
      </w:pPr>
      <w:r>
        <w:rPr>
          <w:rFonts w:ascii="Calibri" w:cs="Calibri" w:eastAsia="Calibri" w:hAnsi="Calibri"/>
          <w:b/>
          <w:bCs/>
          <w:sz w:val="22"/>
          <w:szCs w:val="22"/>
        </w:rPr>
        <w:t xml:space="preserve">Capture.</w:t>
      </w:r>
      <w:r>
        <w:rPr>
          <w:rFonts w:ascii="Calibri" w:cs="Calibri" w:eastAsia="Calibri" w:hAnsi="Calibri"/>
          <w:sz w:val="22"/>
          <w:szCs w:val="22"/>
        </w:rPr>
        <w:t xml:space="preserve"> Clinical photographs and an intraoral scan. </w:t>
      </w:r>
      <w:r>
        <w:rPr>
          <w:rFonts w:ascii="Calibri" w:cs="Calibri" w:eastAsia="Calibri" w:hAnsi="Calibri"/>
          <w:b/>
          <w:bCs/>
          <w:sz w:val="22"/>
          <w:szCs w:val="22"/>
        </w:rPr>
        <w:t xml:space="preserve">That is the whole clinical content of this appointment.</w:t>
      </w:r>
      <w:r>
        <w:rPr>
          <w:rFonts w:ascii="Calibri" w:cs="Calibri" w:eastAsia="Calibri" w:hAnsi="Calibri"/>
          <w:sz w:val="22"/>
          <w:szCs w:val="22"/>
        </w:rPr>
        <w:t xml:space="preserve"> No examination. The TCO is not diagnosing. That boundary matters for the job description and for the consent wording, and it is the line between a treatment coordinator and a clinician.</w:t>
      </w:r>
    </w:p>
    <w:p>
      <w:pPr>
        <w:pStyle w:val="ListParagraph"/>
        <w:numPr>
          <w:ilvl w:val="0"/>
          <w:numId w:val="3"/>
        </w:numPr>
        <w:spacing w:after="100" w:line="288"/>
      </w:pPr>
      <w:r>
        <w:rPr>
          <w:rFonts w:ascii="Calibri" w:cs="Calibri" w:eastAsia="Calibri" w:hAnsi="Calibri"/>
          <w:b/>
          <w:bCs/>
          <w:sz w:val="22"/>
          <w:szCs w:val="22"/>
        </w:rPr>
        <w:t xml:space="preserve">The break.</w:t>
      </w:r>
      <w:r>
        <w:rPr>
          <w:rFonts w:ascii="Calibri" w:cs="Calibri" w:eastAsia="Calibri" w:hAnsi="Calibri"/>
          <w:sz w:val="22"/>
          <w:szCs w:val="22"/>
        </w:rPr>
        <w:t xml:space="preserve"> Five to ten minutes. The patient goes back to the lounge with another drink while the TCO reviews the images properly.</w:t>
      </w:r>
    </w:p>
    <w:p>
      <w:pPr>
        <w:spacing w:after="160" w:line="288"/>
      </w:pPr>
      <w:r>
        <w:rPr>
          <w:rFonts w:ascii="Calibri" w:cs="Calibri" w:eastAsia="Calibri" w:hAnsi="Calibri"/>
          <w:sz w:val="22"/>
          <w:szCs w:val="22"/>
        </w:rPr>
        <w:t xml:space="preserve">This is the most under-appreciated step in the whole journey, because it does three jobs at once. It gives the TCO time to actually think. It gives the patient a moment to sit with their own expectations. And </w:t>
      </w:r>
      <w:r>
        <w:rPr>
          <w:rFonts w:ascii="Calibri" w:cs="Calibri" w:eastAsia="Calibri" w:hAnsi="Calibri"/>
          <w:b/>
          <w:bCs/>
          <w:sz w:val="22"/>
          <w:szCs w:val="22"/>
        </w:rPr>
        <w:t xml:space="preserve">it is the window to grab a dentist</w:t>
      </w:r>
      <w:r>
        <w:rPr>
          <w:rFonts w:ascii="Calibri" w:cs="Calibri" w:eastAsia="Calibri" w:hAnsi="Calibri"/>
          <w:sz w:val="22"/>
          <w:szCs w:val="22"/>
        </w:rPr>
        <w:t xml:space="preserve"> if the TCO is unsure, or is on the fence between two options. The patient never sees the uncertainty.</w:t>
      </w:r>
    </w:p>
    <w:p>
      <w:pPr>
        <w:pStyle w:val="Heading2"/>
        <w:spacing w:after="140" w:before="320"/>
      </w:pPr>
      <w:r>
        <w:rPr>
          <w:rFonts w:ascii="Calibri" w:cs="Calibri" w:eastAsia="Calibri" w:hAnsi="Calibri"/>
          <w:b/>
          <w:bCs/>
          <w:color w:val="000000"/>
          <w:sz w:val="26"/>
          <w:szCs w:val="26"/>
        </w:rPr>
        <w:t xml:space="preserve">4.6   Findings, and the money conversation</w:t>
      </w:r>
    </w:p>
    <w:p>
      <w:pPr>
        <w:spacing w:after="160" w:line="288"/>
      </w:pPr>
      <w:r>
        <w:rPr>
          <w:rFonts w:ascii="Calibri" w:cs="Calibri" w:eastAsia="Calibri" w:hAnsi="Calibri"/>
          <w:sz w:val="22"/>
          <w:szCs w:val="22"/>
        </w:rPr>
        <w:t xml:space="preserve">Patient comes back in. Images on the screen.</w:t>
      </w:r>
    </w:p>
    <w:p>
      <w:pPr>
        <w:pBdr>
          <w:left w:val="single" w:color="BFBFBF" w:sz="12" w:space="12"/>
        </w:pBdr>
        <w:spacing w:after="160" w:before="120" w:line="288"/>
        <w:ind w:left="480"/>
      </w:pPr>
      <w:r>
        <w:rPr>
          <w:rFonts w:ascii="Calibri" w:cs="Calibri" w:eastAsia="Calibri" w:hAnsi="Calibri"/>
          <w:i/>
          <w:iCs/>
          <w:color w:val="3F3F3F"/>
          <w:sz w:val="22"/>
          <w:szCs w:val="22"/>
        </w:rPr>
        <w:t xml:space="preserve">“So Mr Smith, I’ve had a really detailed look at your photos and your scans, and this is exactly what we found.”</w:t>
      </w:r>
    </w:p>
    <w:p>
      <w:pPr>
        <w:spacing w:after="160" w:line="288"/>
      </w:pPr>
      <w:r>
        <w:rPr>
          <w:rFonts w:ascii="Calibri" w:cs="Calibri" w:eastAsia="Calibri" w:hAnsi="Calibri"/>
          <w:sz w:val="22"/>
          <w:szCs w:val="22"/>
        </w:rPr>
        <w:t xml:space="preserve">The structure:</w:t>
      </w:r>
    </w:p>
    <w:p>
      <w:pPr>
        <w:pStyle w:val="ListParagraph"/>
        <w:numPr>
          <w:ilvl w:val="0"/>
          <w:numId w:val="4"/>
        </w:numPr>
        <w:spacing w:after="100" w:line="288"/>
      </w:pPr>
      <w:r>
        <w:rPr>
          <w:rFonts w:ascii="Calibri" w:cs="Calibri" w:eastAsia="Calibri" w:hAnsi="Calibri"/>
          <w:b/>
          <w:bCs/>
          <w:sz w:val="22"/>
          <w:szCs w:val="22"/>
        </w:rPr>
        <w:t xml:space="preserve">Here is what I found.</w:t>
      </w:r>
      <w:r>
        <w:rPr>
          <w:rFonts w:ascii="Calibri" w:cs="Calibri" w:eastAsia="Calibri" w:hAnsi="Calibri"/>
          <w:sz w:val="22"/>
          <w:szCs w:val="22"/>
        </w:rPr>
        <w:t xml:space="preserve"> Show them, on the screen.</w:t>
      </w:r>
    </w:p>
    <w:p>
      <w:pPr>
        <w:pStyle w:val="ListParagraph"/>
        <w:numPr>
          <w:ilvl w:val="0"/>
          <w:numId w:val="4"/>
        </w:numPr>
        <w:spacing w:after="100" w:line="288"/>
      </w:pPr>
      <w:r>
        <w:rPr>
          <w:rFonts w:ascii="Calibri" w:cs="Calibri" w:eastAsia="Calibri" w:hAnsi="Calibri"/>
          <w:b/>
          <w:bCs/>
          <w:sz w:val="22"/>
          <w:szCs w:val="22"/>
        </w:rPr>
        <w:t xml:space="preserve">Here is what it is called.</w:t>
      </w:r>
      <w:r>
        <w:rPr>
          <w:rFonts w:ascii="Calibri" w:cs="Calibri" w:eastAsia="Calibri" w:hAnsi="Calibri"/>
          <w:sz w:val="22"/>
          <w:szCs w:val="22"/>
        </w:rPr>
        <w:t xml:space="preserve"> Plain language.</w:t>
      </w:r>
    </w:p>
    <w:p>
      <w:pPr>
        <w:pStyle w:val="ListParagraph"/>
        <w:numPr>
          <w:ilvl w:val="0"/>
          <w:numId w:val="4"/>
        </w:numPr>
        <w:spacing w:after="100" w:line="288"/>
      </w:pPr>
      <w:r>
        <w:rPr>
          <w:rFonts w:ascii="Calibri" w:cs="Calibri" w:eastAsia="Calibri" w:hAnsi="Calibri"/>
          <w:b/>
          <w:bCs/>
          <w:sz w:val="22"/>
          <w:szCs w:val="22"/>
        </w:rPr>
        <w:t xml:space="preserve">Here is the remedy,</w:t>
      </w:r>
      <w:r>
        <w:rPr>
          <w:rFonts w:ascii="Calibri" w:cs="Calibri" w:eastAsia="Calibri" w:hAnsi="Calibri"/>
          <w:sz w:val="22"/>
          <w:szCs w:val="22"/>
        </w:rPr>
        <w:t xml:space="preserve"> and the options.</w:t>
      </w:r>
    </w:p>
    <w:p>
      <w:pPr>
        <w:pStyle w:val="ListParagraph"/>
        <w:numPr>
          <w:ilvl w:val="0"/>
          <w:numId w:val="4"/>
        </w:numPr>
        <w:spacing w:after="100" w:line="288"/>
      </w:pPr>
      <w:r>
        <w:rPr>
          <w:rFonts w:ascii="Calibri" w:cs="Calibri" w:eastAsia="Calibri" w:hAnsi="Calibri"/>
          <w:b/>
          <w:bCs/>
          <w:sz w:val="22"/>
          <w:szCs w:val="22"/>
        </w:rPr>
        <w:t xml:space="preserve">Here is a case like yours.</w:t>
      </w:r>
      <w:r>
        <w:rPr>
          <w:rFonts w:ascii="Calibri" w:cs="Calibri" w:eastAsia="Calibri" w:hAnsi="Calibri"/>
          <w:sz w:val="22"/>
          <w:szCs w:val="22"/>
        </w:rPr>
        <w:t xml:space="preserve"> Matched before and after.</w:t>
      </w:r>
    </w:p>
    <w:p>
      <w:pPr>
        <w:pStyle w:val="ListParagraph"/>
        <w:numPr>
          <w:ilvl w:val="0"/>
          <w:numId w:val="4"/>
        </w:numPr>
        <w:spacing w:after="100" w:line="288"/>
      </w:pPr>
      <w:r>
        <w:rPr>
          <w:rFonts w:ascii="Calibri" w:cs="Calibri" w:eastAsia="Calibri" w:hAnsi="Calibri"/>
          <w:b/>
          <w:bCs/>
          <w:sz w:val="22"/>
          <w:szCs w:val="22"/>
        </w:rPr>
        <w:t xml:space="preserve">And here is how that connects to what you told me you wanted.</w:t>
      </w:r>
    </w:p>
    <w:p>
      <w:pPr>
        <w:spacing w:after="160" w:line="288"/>
      </w:pPr>
      <w:r>
        <w:rPr>
          <w:rFonts w:ascii="Calibri" w:cs="Calibri" w:eastAsia="Calibri" w:hAnsi="Calibri"/>
          <w:sz w:val="22"/>
          <w:szCs w:val="22"/>
        </w:rPr>
        <w:t xml:space="preserve">Step five is the hinge of the whole journey. If discovery was done properly, the TCO can now say the sentence that closes the case:</w:t>
      </w:r>
    </w:p>
    <w:p>
      <w:pPr>
        <w:pBdr>
          <w:left w:val="single" w:color="BFBFBF" w:sz="12" w:space="12"/>
        </w:pBdr>
        <w:spacing w:after="160" w:before="120" w:line="288"/>
        <w:ind w:left="480"/>
      </w:pPr>
      <w:r>
        <w:rPr>
          <w:rFonts w:ascii="Calibri" w:cs="Calibri" w:eastAsia="Calibri" w:hAnsi="Calibri"/>
          <w:i/>
          <w:iCs/>
          <w:color w:val="3F3F3F"/>
          <w:sz w:val="22"/>
          <w:szCs w:val="22"/>
        </w:rPr>
        <w:t xml:space="preserve">“You came here today because your daughter’s getting married in three months and you don’t want a gap in your smile. I’m really glad to tell you that we can do this for you. We can give you your smile back and make sure you can smile in every one of those photographs. To do that, we need to do X, Y and Z, and I’m confident we’ll get you there.”</w:t>
      </w:r>
    </w:p>
    <w:p>
      <w:pPr>
        <w:spacing w:after="160" w:line="288"/>
      </w:pPr>
      <w:r>
        <w:rPr>
          <w:rFonts w:ascii="Calibri" w:cs="Calibri" w:eastAsia="Calibri" w:hAnsi="Calibri"/>
          <w:sz w:val="22"/>
          <w:szCs w:val="22"/>
        </w:rPr>
        <w:t xml:space="preserve">If you did not ask in the first place, you do not know, and you cannot say any of that.</w:t>
      </w:r>
    </w:p>
    <w:p>
      <w:pPr>
        <w:pStyle w:val="Heading3"/>
        <w:spacing w:after="120" w:before="240"/>
      </w:pPr>
      <w:r>
        <w:rPr>
          <w:rFonts w:ascii="Calibri" w:cs="Calibri" w:eastAsia="Calibri" w:hAnsi="Calibri"/>
          <w:b/>
          <w:bCs/>
          <w:color w:val="595959"/>
          <w:sz w:val="23"/>
          <w:szCs w:val="23"/>
        </w:rPr>
        <w:t xml:space="preserve">The ballpark</w:t>
      </w:r>
    </w:p>
    <w:p>
      <w:pPr>
        <w:spacing w:after="160" w:line="288"/>
      </w:pPr>
      <w:r>
        <w:rPr>
          <w:rFonts w:ascii="Calibri" w:cs="Calibri" w:eastAsia="Calibri" w:hAnsi="Calibri"/>
          <w:sz w:val="22"/>
          <w:szCs w:val="22"/>
        </w:rPr>
        <w:t xml:space="preserve">The TCO gives an indicative investment range </w:t>
      </w:r>
      <w:r>
        <w:rPr>
          <w:rFonts w:ascii="Calibri" w:cs="Calibri" w:eastAsia="Calibri" w:hAnsi="Calibri"/>
          <w:b/>
          <w:bCs/>
          <w:sz w:val="22"/>
          <w:szCs w:val="22"/>
        </w:rPr>
        <w:t xml:space="preserve">at this appointment,</w:t>
      </w:r>
      <w:r>
        <w:rPr>
          <w:rFonts w:ascii="Calibri" w:cs="Calibri" w:eastAsia="Calibri" w:hAnsi="Calibri"/>
          <w:sz w:val="22"/>
          <w:szCs w:val="22"/>
        </w:rPr>
        <w:t xml:space="preserve"> not at the dentist appointment.</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This is an important one. It is what stops the £49 exam turning into a £3,000 surprise. Without it, the dentist spends forty five minutes chairside and then delivers a number the patient was not braced for. The patient is shocked, the case is lost, and the chair time is gone. The TCO absorbs that conversation first, so that nothing at the dentist appointment is a surprise.</w:t>
      </w:r>
    </w:p>
    <w:p>
      <w:pPr>
        <w:pStyle w:val="Heading2"/>
        <w:spacing w:after="140" w:before="320"/>
      </w:pPr>
      <w:r>
        <w:rPr>
          <w:rFonts w:ascii="Calibri" w:cs="Calibri" w:eastAsia="Calibri" w:hAnsi="Calibri"/>
          <w:b/>
          <w:bCs/>
          <w:color w:val="000000"/>
          <w:sz w:val="26"/>
          <w:szCs w:val="26"/>
        </w:rPr>
        <w:t xml:space="preserve">4.7   The close, or the warm hold</w:t>
      </w:r>
    </w:p>
    <w:p>
      <w:pPr>
        <w:spacing w:after="160" w:line="288"/>
      </w:pPr>
      <w:r>
        <w:rPr>
          <w:rFonts w:ascii="Calibri" w:cs="Calibri" w:eastAsia="Calibri" w:hAnsi="Calibri"/>
          <w:sz w:val="22"/>
          <w:szCs w:val="22"/>
        </w:rPr>
        <w:t xml:space="preserve">No patient leaves the room with a question mark over what happens next. Ever.</w:t>
      </w:r>
    </w:p>
    <w:p>
      <w:pPr>
        <w:spacing w:after="160" w:line="288"/>
      </w:pPr>
      <w:r>
        <w:rPr>
          <w:rFonts w:ascii="Calibri" w:cs="Calibri" w:eastAsia="Calibri" w:hAnsi="Calibri"/>
          <w:b/>
          <w:bCs/>
          <w:sz w:val="22"/>
          <w:szCs w:val="22"/>
        </w:rPr>
        <w:t xml:space="preserve">The two questions,</w:t>
      </w:r>
      <w:r>
        <w:rPr>
          <w:rFonts w:ascii="Calibri" w:cs="Calibri" w:eastAsia="Calibri" w:hAnsi="Calibri"/>
          <w:sz w:val="22"/>
          <w:szCs w:val="22"/>
        </w:rPr>
        <w:t xml:space="preserve"> asked in this order:</w:t>
      </w:r>
    </w:p>
    <w:p>
      <w:pPr>
        <w:pBdr>
          <w:left w:val="single" w:color="BFBFBF" w:sz="12" w:space="12"/>
        </w:pBdr>
        <w:spacing w:after="160" w:before="120" w:line="288"/>
        <w:ind w:left="480"/>
      </w:pPr>
      <w:r>
        <w:rPr>
          <w:rFonts w:ascii="Calibri" w:cs="Calibri" w:eastAsia="Calibri" w:hAnsi="Calibri"/>
          <w:i/>
          <w:iCs/>
          <w:color w:val="3F3F3F"/>
          <w:sz w:val="22"/>
          <w:szCs w:val="22"/>
        </w:rPr>
        <w:t xml:space="preserve">“How do you feel about that?”</w:t>
      </w:r>
    </w:p>
    <w:p>
      <w:pPr>
        <w:pBdr>
          <w:left w:val="single" w:color="BFBFBF" w:sz="12" w:space="12"/>
        </w:pBdr>
        <w:spacing w:after="160" w:before="120" w:line="288"/>
        <w:ind w:left="480"/>
      </w:pPr>
      <w:r>
        <w:rPr>
          <w:rFonts w:ascii="Calibri" w:cs="Calibri" w:eastAsia="Calibri" w:hAnsi="Calibri"/>
          <w:i/>
          <w:iCs/>
          <w:color w:val="3F3F3F"/>
          <w:sz w:val="22"/>
          <w:szCs w:val="22"/>
        </w:rPr>
        <w:t xml:space="preserve">“What would you like to do next?”</w:t>
      </w:r>
    </w:p>
    <w:p>
      <w:pPr>
        <w:spacing w:after="160" w:line="288"/>
      </w:pPr>
      <w:r>
        <w:rPr>
          <w:rFonts w:ascii="Calibri" w:cs="Calibri" w:eastAsia="Calibri" w:hAnsi="Calibri"/>
          <w:sz w:val="22"/>
          <w:szCs w:val="22"/>
        </w:rPr>
        <w:t xml:space="preserve">The second one is where objections surface, and surfacing them is the point. An objection you have heard is workable. An objection the patient takes home is not. The real ones are almost always cost, needing to speak to a partner, fear, or a competing priority like a new kitchen.</w:t>
      </w:r>
    </w:p>
    <w:p>
      <w:pPr>
        <w:pStyle w:val="Heading3"/>
        <w:spacing w:after="120" w:before="240"/>
      </w:pPr>
      <w:r>
        <w:rPr>
          <w:rFonts w:ascii="Calibri" w:cs="Calibri" w:eastAsia="Calibri" w:hAnsi="Calibri"/>
          <w:b/>
          <w:bCs/>
          <w:color w:val="595959"/>
          <w:sz w:val="23"/>
          <w:szCs w:val="23"/>
        </w:rPr>
        <w:t xml:space="preserve">If it is a yes</w:t>
      </w:r>
    </w:p>
    <w:p>
      <w:pPr>
        <w:pStyle w:val="ListParagraph"/>
        <w:numPr>
          <w:ilvl w:val="0"/>
          <w:numId w:val="2"/>
        </w:numPr>
        <w:spacing w:after="100" w:line="288"/>
      </w:pPr>
      <w:r>
        <w:rPr>
          <w:rFonts w:ascii="Calibri" w:cs="Calibri" w:eastAsia="Calibri" w:hAnsi="Calibri"/>
          <w:sz w:val="22"/>
          <w:szCs w:val="22"/>
        </w:rPr>
        <w:t xml:space="preserve">Book the clinical examination with the dentist, and take the consultation fee.</w:t>
      </w:r>
    </w:p>
    <w:p>
      <w:pPr>
        <w:pStyle w:val="ListParagraph"/>
        <w:numPr>
          <w:ilvl w:val="0"/>
          <w:numId w:val="2"/>
        </w:numPr>
        <w:spacing w:after="100" w:line="288"/>
      </w:pPr>
      <w:r>
        <w:rPr>
          <w:rFonts w:ascii="Calibri" w:cs="Calibri" w:eastAsia="Calibri" w:hAnsi="Calibri"/>
          <w:b/>
          <w:bCs/>
          <w:sz w:val="22"/>
          <w:szCs w:val="22"/>
        </w:rPr>
        <w:t xml:space="preserve">Preview that appointment specifically.</w:t>
      </w:r>
      <w:r>
        <w:rPr>
          <w:rFonts w:ascii="Calibri" w:cs="Calibri" w:eastAsia="Calibri" w:hAnsi="Calibri"/>
          <w:sz w:val="22"/>
          <w:szCs w:val="22"/>
        </w:rPr>
        <w:t xml:space="preserve"> Not “you’ll see the dentist,” but what will actually happen and what it will cost.</w:t>
      </w:r>
    </w:p>
    <w:p>
      <w:pPr>
        <w:pStyle w:val="ListParagraph"/>
        <w:numPr>
          <w:ilvl w:val="1"/>
          <w:numId w:val="2"/>
        </w:numPr>
        <w:spacing w:after="100" w:line="288"/>
      </w:pPr>
      <w:r>
        <w:rPr>
          <w:rFonts w:ascii="Calibri" w:cs="Calibri" w:eastAsia="Calibri" w:hAnsi="Calibri"/>
          <w:b/>
          <w:bCs/>
          <w:sz w:val="22"/>
          <w:szCs w:val="22"/>
        </w:rPr>
        <w:t xml:space="preserve">Clear aligners:</w:t>
      </w:r>
      <w:r>
        <w:rPr>
          <w:rFonts w:ascii="Calibri" w:cs="Calibri" w:eastAsia="Calibri" w:hAnsi="Calibri"/>
          <w:sz w:val="22"/>
          <w:szCs w:val="22"/>
        </w:rPr>
        <w:t xml:space="preserve"> £250 deposit toward treatment, which funds the ClinCheck. It comes off the total. If they do not go ahead, Avenue keeps it.</w:t>
      </w:r>
    </w:p>
    <w:p>
      <w:pPr>
        <w:pStyle w:val="ListParagraph"/>
        <w:numPr>
          <w:ilvl w:val="1"/>
          <w:numId w:val="2"/>
        </w:numPr>
        <w:spacing w:after="100" w:line="288"/>
      </w:pPr>
      <w:r>
        <w:rPr>
          <w:rFonts w:ascii="Calibri" w:cs="Calibri" w:eastAsia="Calibri" w:hAnsi="Calibri"/>
          <w:b/>
          <w:bCs/>
          <w:sz w:val="22"/>
          <w:szCs w:val="22"/>
        </w:rPr>
        <w:t xml:space="preserve">Implants:</w:t>
      </w:r>
      <w:r>
        <w:rPr>
          <w:rFonts w:ascii="Calibri" w:cs="Calibri" w:eastAsia="Calibri" w:hAnsi="Calibri"/>
          <w:sz w:val="22"/>
          <w:szCs w:val="22"/>
        </w:rPr>
        <w:t xml:space="preserve"> a CBCT scan will be taken on the day and there is a fee for it. Around 95% of patients who pay for the CT go ahead, so it is both a commitment signal and a clinical necessity. The TCO has to set that expectation, because the TCO cannot prescribe the scan and the patient should not hear about the cost for the first time in the chair.</w:t>
      </w:r>
    </w:p>
    <w:p>
      <w:pPr>
        <w:pStyle w:val="Heading3"/>
        <w:spacing w:after="120" w:before="240"/>
      </w:pPr>
      <w:r>
        <w:rPr>
          <w:rFonts w:ascii="Calibri" w:cs="Calibri" w:eastAsia="Calibri" w:hAnsi="Calibri"/>
          <w:b/>
          <w:bCs/>
          <w:color w:val="595959"/>
          <w:sz w:val="23"/>
          <w:szCs w:val="23"/>
        </w:rPr>
        <w:t xml:space="preserve">If it is not yet</w:t>
      </w:r>
    </w:p>
    <w:p>
      <w:pPr>
        <w:spacing w:after="160" w:line="288"/>
      </w:pPr>
      <w:r>
        <w:rPr>
          <w:rFonts w:ascii="Calibri" w:cs="Calibri" w:eastAsia="Calibri" w:hAnsi="Calibri"/>
          <w:sz w:val="22"/>
          <w:szCs w:val="22"/>
        </w:rPr>
        <w:t xml:space="preserve">The fallback goal is a real goal, not a consolation: </w:t>
      </w:r>
      <w:r>
        <w:rPr>
          <w:rFonts w:ascii="Calibri" w:cs="Calibri" w:eastAsia="Calibri" w:hAnsi="Calibri"/>
          <w:b/>
          <w:bCs/>
          <w:sz w:val="22"/>
          <w:szCs w:val="22"/>
        </w:rPr>
        <w:t xml:space="preserve">get them booked back for a review.</w:t>
      </w:r>
      <w:r>
        <w:rPr>
          <w:rFonts w:ascii="Calibri" w:cs="Calibri" w:eastAsia="Calibri" w:hAnsi="Calibri"/>
          <w:sz w:val="22"/>
          <w:szCs w:val="22"/>
        </w:rPr>
        <w:t xml:space="preserve"> A patient who comes back has spent motivation and time to do it, which is a strong signal, and it is another chance to build the relationship. If they will not book a second visit, they were never close, or the case was not made.</w:t>
      </w:r>
    </w:p>
    <w:p>
      <w:pPr>
        <w:spacing w:after="160" w:line="288"/>
      </w:pPr>
      <w:r>
        <w:rPr>
          <w:rFonts w:ascii="Calibri" w:cs="Calibri" w:eastAsia="Calibri" w:hAnsi="Calibri"/>
          <w:sz w:val="22"/>
          <w:szCs w:val="22"/>
        </w:rPr>
        <w:t xml:space="preserve">If they will not book at all:</w:t>
      </w:r>
    </w:p>
    <w:p>
      <w:pPr>
        <w:pStyle w:val="ListParagraph"/>
        <w:numPr>
          <w:ilvl w:val="0"/>
          <w:numId w:val="2"/>
        </w:numPr>
        <w:spacing w:after="100" w:line="288"/>
      </w:pPr>
      <w:r>
        <w:rPr>
          <w:rFonts w:ascii="Calibri" w:cs="Calibri" w:eastAsia="Calibri" w:hAnsi="Calibri"/>
          <w:sz w:val="22"/>
          <w:szCs w:val="22"/>
        </w:rPr>
        <w:t xml:space="preserve">Schedule a specific follow-up call. A date and a time agreed with them, not “I’ll be in touch.”</w:t>
      </w:r>
    </w:p>
    <w:p>
      <w:pPr>
        <w:pStyle w:val="ListParagraph"/>
        <w:numPr>
          <w:ilvl w:val="0"/>
          <w:numId w:val="2"/>
        </w:numPr>
        <w:spacing w:after="100" w:line="288"/>
      </w:pPr>
      <w:r>
        <w:rPr>
          <w:rFonts w:ascii="Calibri" w:cs="Calibri" w:eastAsia="Calibri" w:hAnsi="Calibri"/>
          <w:sz w:val="22"/>
          <w:szCs w:val="22"/>
        </w:rPr>
        <w:t xml:space="preserve">Into the pipeline with a next action and an owner.</w:t>
      </w:r>
    </w:p>
    <w:p>
      <w:pPr>
        <w:pStyle w:val="ListParagraph"/>
        <w:numPr>
          <w:ilvl w:val="0"/>
          <w:numId w:val="2"/>
        </w:numPr>
        <w:spacing w:after="100" w:line="288"/>
      </w:pPr>
      <w:r>
        <w:rPr>
          <w:rFonts w:ascii="Calibri" w:cs="Calibri" w:eastAsia="Calibri" w:hAnsi="Calibri"/>
          <w:sz w:val="22"/>
          <w:szCs w:val="22"/>
        </w:rPr>
        <w:t xml:space="preserve">Drip content between now and then. Before and afters, patient stories, matched to their case.</w:t>
      </w:r>
    </w:p>
    <w:p>
      <w:pPr>
        <w:pBdr>
          <w:left w:val="single" w:color="BFBFBF" w:sz="12" w:space="12"/>
        </w:pBdr>
        <w:spacing w:after="160" w:before="120" w:line="288"/>
        <w:ind w:left="480"/>
      </w:pPr>
      <w:r>
        <w:rPr>
          <w:rFonts w:ascii="Calibri" w:cs="Calibri" w:eastAsia="Calibri" w:hAnsi="Calibri"/>
          <w:i/>
          <w:iCs/>
          <w:color w:val="3F3F3F"/>
          <w:sz w:val="22"/>
          <w:szCs w:val="22"/>
        </w:rPr>
        <w:t xml:space="preserve">“Don’t worry, take the time you need. What I’m going to do is put a call in the diary for a fortnight on Tuesday. What time suits you?”</w:t>
      </w:r>
    </w:p>
    <w:p>
      <w:pPr>
        <w:pStyle w:val="Heading2"/>
        <w:spacing w:after="140" w:before="320"/>
      </w:pPr>
      <w:r>
        <w:rPr>
          <w:rFonts w:ascii="Calibri" w:cs="Calibri" w:eastAsia="Calibri" w:hAnsi="Calibri"/>
          <w:b/>
          <w:bCs/>
          <w:color w:val="000000"/>
          <w:sz w:val="26"/>
          <w:szCs w:val="26"/>
        </w:rPr>
        <w:t xml:space="preserve">4.8   The dentist appointment</w:t>
      </w:r>
    </w:p>
    <w:p>
      <w:pPr>
        <w:spacing w:after="160" w:line="288"/>
      </w:pPr>
      <w:r>
        <w:rPr>
          <w:rFonts w:ascii="Calibri" w:cs="Calibri" w:eastAsia="Calibri" w:hAnsi="Calibri"/>
          <w:sz w:val="22"/>
          <w:szCs w:val="22"/>
        </w:rPr>
        <w:t xml:space="preserve">The patient gets passed between people who have already spoken to each other, and it should look deliberate.</w:t>
      </w:r>
    </w:p>
    <w:p>
      <w:pPr>
        <w:pStyle w:val="ListParagraph"/>
        <w:numPr>
          <w:ilvl w:val="0"/>
          <w:numId w:val="5"/>
        </w:numPr>
        <w:spacing w:after="100" w:line="288"/>
      </w:pPr>
      <w:r>
        <w:rPr>
          <w:rFonts w:ascii="Calibri" w:cs="Calibri" w:eastAsia="Calibri" w:hAnsi="Calibri"/>
          <w:b/>
          <w:bCs/>
          <w:sz w:val="22"/>
          <w:szCs w:val="22"/>
        </w:rPr>
        <w:t xml:space="preserve">The TCO meets and greets again.</w:t>
      </w:r>
      <w:r>
        <w:rPr>
          <w:rFonts w:ascii="Calibri" w:cs="Calibri" w:eastAsia="Calibri" w:hAnsi="Calibri"/>
          <w:sz w:val="22"/>
          <w:szCs w:val="22"/>
        </w:rPr>
        <w:t xml:space="preserve"> Familiarity is the whole point.</w:t>
      </w:r>
    </w:p>
    <w:p>
      <w:pPr>
        <w:pStyle w:val="ListParagraph"/>
        <w:numPr>
          <w:ilvl w:val="0"/>
          <w:numId w:val="5"/>
        </w:numPr>
        <w:spacing w:after="100" w:line="288"/>
      </w:pPr>
      <w:r>
        <w:rPr>
          <w:rFonts w:ascii="Calibri" w:cs="Calibri" w:eastAsia="Calibri" w:hAnsi="Calibri"/>
          <w:b/>
          <w:bCs/>
          <w:sz w:val="22"/>
          <w:szCs w:val="22"/>
        </w:rPr>
        <w:t xml:space="preserve">Warm handoff to the nurse and dentist.</w:t>
      </w:r>
      <w:r>
        <w:rPr>
          <w:rFonts w:ascii="Calibri" w:cs="Calibri" w:eastAsia="Calibri" w:hAnsi="Calibri"/>
          <w:sz w:val="22"/>
          <w:szCs w:val="22"/>
        </w:rPr>
        <w:t xml:space="preserve"> Formal enough that the patient registers it as a moment, not “take a seat, someone will come.”</w:t>
      </w:r>
    </w:p>
    <w:p>
      <w:pPr>
        <w:pStyle w:val="ListParagraph"/>
        <w:numPr>
          <w:ilvl w:val="0"/>
          <w:numId w:val="5"/>
        </w:numPr>
        <w:spacing w:after="100" w:line="288"/>
      </w:pPr>
      <w:r>
        <w:rPr>
          <w:rFonts w:ascii="Calibri" w:cs="Calibri" w:eastAsia="Calibri" w:hAnsi="Calibri"/>
          <w:sz w:val="22"/>
          <w:szCs w:val="22"/>
        </w:rPr>
        <w:t xml:space="preserve">The nurse and dentist run the appointment as normal.</w:t>
      </w:r>
    </w:p>
    <w:p>
      <w:pPr>
        <w:pStyle w:val="ListParagraph"/>
        <w:numPr>
          <w:ilvl w:val="0"/>
          <w:numId w:val="5"/>
        </w:numPr>
        <w:spacing w:after="100" w:line="288"/>
      </w:pPr>
      <w:r>
        <w:rPr>
          <w:rFonts w:ascii="Calibri" w:cs="Calibri" w:eastAsia="Calibri" w:hAnsi="Calibri"/>
          <w:sz w:val="22"/>
          <w:szCs w:val="22"/>
        </w:rPr>
        <w:t xml:space="preserve">The dentist diagnoses, takes any imaging needed, and builds the plan.</w:t>
      </w:r>
    </w:p>
    <w:p>
      <w:pPr>
        <w:pStyle w:val="ListParagraph"/>
        <w:numPr>
          <w:ilvl w:val="0"/>
          <w:numId w:val="5"/>
        </w:numPr>
        <w:spacing w:after="100" w:line="288"/>
      </w:pPr>
      <w:r>
        <w:rPr>
          <w:rFonts w:ascii="Calibri" w:cs="Calibri" w:eastAsia="Calibri" w:hAnsi="Calibri"/>
          <w:b/>
          <w:bCs/>
          <w:sz w:val="22"/>
          <w:szCs w:val="22"/>
        </w:rPr>
        <w:t xml:space="preserve">The dentist and the TCO confer.</w:t>
      </w:r>
      <w:r>
        <w:rPr>
          <w:rFonts w:ascii="Calibri" w:cs="Calibri" w:eastAsia="Calibri" w:hAnsi="Calibri"/>
          <w:sz w:val="22"/>
          <w:szCs w:val="22"/>
        </w:rPr>
        <w:t xml:space="preserve"> The dentist prescribes the staging, the sequence and the timeframes. The TCO owns everything else.</w:t>
      </w:r>
    </w:p>
    <w:p>
      <w:pPr>
        <w:pStyle w:val="ListParagraph"/>
        <w:numPr>
          <w:ilvl w:val="0"/>
          <w:numId w:val="5"/>
        </w:numPr>
        <w:spacing w:after="100" w:line="288"/>
      </w:pPr>
      <w:r>
        <w:rPr>
          <w:rFonts w:ascii="Calibri" w:cs="Calibri" w:eastAsia="Calibri" w:hAnsi="Calibri"/>
          <w:b/>
          <w:bCs/>
          <w:sz w:val="22"/>
          <w:szCs w:val="22"/>
        </w:rPr>
        <w:t xml:space="preserve">The patient goes back to the TCO before they leave.</w:t>
      </w:r>
    </w:p>
    <w:p>
      <w:pPr>
        <w:spacing w:after="160" w:line="288"/>
      </w:pPr>
      <w:r>
        <w:rPr>
          <w:rFonts w:ascii="Calibri" w:cs="Calibri" w:eastAsia="Calibri" w:hAnsi="Calibri"/>
          <w:b/>
          <w:bCs/>
          <w:sz w:val="22"/>
          <w:szCs w:val="22"/>
        </w:rPr>
        <w:t xml:space="preserve">This is the hard rule of the whole journey:</w:t>
      </w:r>
      <w:r>
        <w:rPr>
          <w:rFonts w:ascii="Calibri" w:cs="Calibri" w:eastAsia="Calibri" w:hAnsi="Calibri"/>
          <w:sz w:val="22"/>
          <w:szCs w:val="22"/>
        </w:rPr>
        <w:t xml:space="preserve"> if the dentist has been able to put the plan together on the day, the patient does not leave the building without seeing the TCO and being signed up.</w:t>
      </w:r>
    </w:p>
    <w:p>
      <w:pPr>
        <w:pStyle w:val="Heading2"/>
        <w:spacing w:after="140" w:before="320"/>
      </w:pPr>
      <w:r>
        <w:rPr>
          <w:rFonts w:ascii="Calibri" w:cs="Calibri" w:eastAsia="Calibri" w:hAnsi="Calibri"/>
          <w:b/>
          <w:bCs/>
          <w:color w:val="000000"/>
          <w:sz w:val="26"/>
          <w:szCs w:val="26"/>
        </w:rPr>
        <w:t xml:space="preserve">4.9   Signing up</w:t>
      </w:r>
    </w:p>
    <w:p>
      <w:pPr>
        <w:spacing w:after="160" w:line="288"/>
      </w:pPr>
      <w:r>
        <w:rPr>
          <w:rFonts w:ascii="Calibri" w:cs="Calibri" w:eastAsia="Calibri" w:hAnsi="Calibri"/>
          <w:sz w:val="22"/>
          <w:szCs w:val="22"/>
        </w:rPr>
        <w:t xml:space="preserve">This is the moment everything has been building to, and it should feel like arriving somewhere rather than being sold to.</w:t>
      </w:r>
    </w:p>
    <w:p>
      <w:pPr>
        <w:pStyle w:val="ListParagraph"/>
        <w:numPr>
          <w:ilvl w:val="0"/>
          <w:numId w:val="2"/>
        </w:numPr>
        <w:spacing w:after="100" w:line="288"/>
      </w:pPr>
      <w:r>
        <w:rPr>
          <w:rFonts w:ascii="Calibri" w:cs="Calibri" w:eastAsia="Calibri" w:hAnsi="Calibri"/>
          <w:b/>
          <w:bCs/>
          <w:sz w:val="22"/>
          <w:szCs w:val="22"/>
        </w:rPr>
        <w:t xml:space="preserve">Reconnect to the arc.</w:t>
      </w:r>
      <w:r>
        <w:rPr>
          <w:rFonts w:ascii="Calibri" w:cs="Calibri" w:eastAsia="Calibri" w:hAnsi="Calibri"/>
          <w:sz w:val="22"/>
          <w:szCs w:val="22"/>
        </w:rPr>
        <w:t xml:space="preserve"> We have met a few times now, we have looked at everything properly, and here is where we have got to.</w:t>
      </w:r>
    </w:p>
    <w:p>
      <w:pPr>
        <w:pStyle w:val="ListParagraph"/>
        <w:numPr>
          <w:ilvl w:val="0"/>
          <w:numId w:val="2"/>
        </w:numPr>
        <w:spacing w:after="100" w:line="288"/>
      </w:pPr>
      <w:r>
        <w:rPr>
          <w:rFonts w:ascii="Calibri" w:cs="Calibri" w:eastAsia="Calibri" w:hAnsi="Calibri"/>
          <w:b/>
          <w:bCs/>
          <w:sz w:val="22"/>
          <w:szCs w:val="22"/>
        </w:rPr>
        <w:t xml:space="preserve">Name what changed.</w:t>
      </w:r>
      <w:r>
        <w:rPr>
          <w:rFonts w:ascii="Calibri" w:cs="Calibri" w:eastAsia="Calibri" w:hAnsi="Calibri"/>
          <w:sz w:val="22"/>
          <w:szCs w:val="22"/>
        </w:rPr>
        <w:t xml:space="preserve"> Confirm what they already knew from the ballpark, and be straight about anything new. The implant that turns out to need a sinus lift and goes from £3,000 to £5,000 is exactly the conversation this model exists to handle well.</w:t>
      </w:r>
    </w:p>
    <w:p>
      <w:pPr>
        <w:pStyle w:val="ListParagraph"/>
        <w:numPr>
          <w:ilvl w:val="0"/>
          <w:numId w:val="2"/>
        </w:numPr>
        <w:spacing w:after="100" w:line="288"/>
      </w:pPr>
      <w:r>
        <w:rPr>
          <w:rFonts w:ascii="Calibri" w:cs="Calibri" w:eastAsia="Calibri" w:hAnsi="Calibri"/>
          <w:b/>
          <w:bCs/>
          <w:sz w:val="22"/>
          <w:szCs w:val="22"/>
        </w:rPr>
        <w:t xml:space="preserve">Present the investment without apology.</w:t>
      </w:r>
      <w:r>
        <w:rPr>
          <w:rFonts w:ascii="Calibri" w:cs="Calibri" w:eastAsia="Calibri" w:hAnsi="Calibri"/>
          <w:sz w:val="22"/>
          <w:szCs w:val="22"/>
        </w:rPr>
        <w:t xml:space="preserve"> Value anchored before price, framed as an investment in the outcome they already told us they wanted.</w:t>
      </w:r>
    </w:p>
    <w:p>
      <w:pPr>
        <w:pStyle w:val="ListParagraph"/>
        <w:numPr>
          <w:ilvl w:val="0"/>
          <w:numId w:val="2"/>
        </w:numPr>
        <w:spacing w:after="100" w:line="288"/>
      </w:pPr>
      <w:r>
        <w:rPr>
          <w:rFonts w:ascii="Calibri" w:cs="Calibri" w:eastAsia="Calibri" w:hAnsi="Calibri"/>
          <w:b/>
          <w:bCs/>
          <w:sz w:val="22"/>
          <w:szCs w:val="22"/>
        </w:rPr>
        <w:t xml:space="preserve">All the payment routes as normal options, not fallbacks:</w:t>
      </w:r>
      <w:r>
        <w:rPr>
          <w:rFonts w:ascii="Calibri" w:cs="Calibri" w:eastAsia="Calibri" w:hAnsi="Calibri"/>
          <w:sz w:val="22"/>
          <w:szCs w:val="22"/>
        </w:rPr>
        <w:t xml:space="preserve"> membership plan, staged payment, third party finance.</w:t>
      </w:r>
    </w:p>
    <w:p>
      <w:pPr>
        <w:pStyle w:val="ListParagraph"/>
        <w:numPr>
          <w:ilvl w:val="0"/>
          <w:numId w:val="2"/>
        </w:numPr>
        <w:spacing w:after="100" w:line="288"/>
      </w:pPr>
      <w:r>
        <w:rPr>
          <w:rFonts w:ascii="Calibri" w:cs="Calibri" w:eastAsia="Calibri" w:hAnsi="Calibri"/>
          <w:b/>
          <w:bCs/>
          <w:sz w:val="22"/>
          <w:szCs w:val="22"/>
        </w:rPr>
        <w:t xml:space="preserve">Book the full treatment sequence</w:t>
      </w:r>
      <w:r>
        <w:rPr>
          <w:rFonts w:ascii="Calibri" w:cs="Calibri" w:eastAsia="Calibri" w:hAnsi="Calibri"/>
          <w:sz w:val="22"/>
          <w:szCs w:val="22"/>
        </w:rPr>
        <w:t xml:space="preserve"> to the staging the dentist prescribed.</w:t>
      </w:r>
    </w:p>
    <w:p>
      <w:pPr>
        <w:pStyle w:val="ListParagraph"/>
        <w:numPr>
          <w:ilvl w:val="0"/>
          <w:numId w:val="2"/>
        </w:numPr>
        <w:spacing w:after="100" w:line="288"/>
      </w:pPr>
      <w:r>
        <w:rPr>
          <w:rFonts w:ascii="Calibri" w:cs="Calibri" w:eastAsia="Calibri" w:hAnsi="Calibri"/>
          <w:b/>
          <w:bCs/>
          <w:sz w:val="22"/>
          <w:szCs w:val="22"/>
        </w:rPr>
        <w:t xml:space="preserve">Take payment or the deposit.</w:t>
      </w:r>
    </w:p>
    <w:p>
      <w:pPr>
        <w:pStyle w:val="ListParagraph"/>
        <w:numPr>
          <w:ilvl w:val="0"/>
          <w:numId w:val="2"/>
        </w:numPr>
        <w:spacing w:after="100" w:line="288"/>
      </w:pPr>
      <w:r>
        <w:rPr>
          <w:rFonts w:ascii="Calibri" w:cs="Calibri" w:eastAsia="Calibri" w:hAnsi="Calibri"/>
          <w:b/>
          <w:bCs/>
          <w:sz w:val="22"/>
          <w:szCs w:val="22"/>
        </w:rPr>
        <w:t xml:space="preserve">Obtain and document consent</w:t>
      </w:r>
      <w:r>
        <w:rPr>
          <w:rFonts w:ascii="Calibri" w:cs="Calibri" w:eastAsia="Calibri" w:hAnsi="Calibri"/>
          <w:sz w:val="22"/>
          <w:szCs w:val="22"/>
        </w:rPr>
        <w:t xml:space="preserve"> properly, and build the plan in CareStack.</w:t>
      </w:r>
    </w:p>
    <w:p>
      <w:pPr>
        <w:pStyle w:val="Heading2"/>
        <w:spacing w:after="140" w:before="320"/>
      </w:pPr>
      <w:r>
        <w:rPr>
          <w:rFonts w:ascii="Calibri" w:cs="Calibri" w:eastAsia="Calibri" w:hAnsi="Calibri"/>
          <w:b/>
          <w:bCs/>
          <w:color w:val="000000"/>
          <w:sz w:val="26"/>
          <w:szCs w:val="26"/>
        </w:rPr>
        <w:t xml:space="preserve">4.10   During treatment</w:t>
      </w:r>
    </w:p>
    <w:p>
      <w:pPr>
        <w:spacing w:after="160" w:line="288"/>
      </w:pPr>
      <w:r>
        <w:rPr>
          <w:rFonts w:ascii="Calibri" w:cs="Calibri" w:eastAsia="Calibri" w:hAnsi="Calibri"/>
          <w:sz w:val="22"/>
          <w:szCs w:val="22"/>
        </w:rPr>
        <w:t xml:space="preserve">The relationship does not go quiet once the money is in.</w:t>
      </w:r>
    </w:p>
    <w:p>
      <w:pPr>
        <w:pStyle w:val="ListParagraph"/>
        <w:numPr>
          <w:ilvl w:val="0"/>
          <w:numId w:val="2"/>
        </w:numPr>
        <w:spacing w:after="100" w:line="288"/>
      </w:pPr>
      <w:r>
        <w:rPr>
          <w:rFonts w:ascii="Calibri" w:cs="Calibri" w:eastAsia="Calibri" w:hAnsi="Calibri"/>
          <w:b/>
          <w:bCs/>
          <w:sz w:val="22"/>
          <w:szCs w:val="22"/>
        </w:rPr>
        <w:t xml:space="preserve">Contact after every treatment appointment.</w:t>
      </w:r>
      <w:r>
        <w:rPr>
          <w:rFonts w:ascii="Calibri" w:cs="Calibri" w:eastAsia="Calibri" w:hAnsi="Calibri"/>
          <w:sz w:val="22"/>
          <w:szCs w:val="22"/>
        </w:rPr>
        <w:t xml:space="preserve"> A short personal check-in, not an automated survey.</w:t>
      </w:r>
    </w:p>
    <w:p>
      <w:pPr>
        <w:pStyle w:val="ListParagraph"/>
        <w:numPr>
          <w:ilvl w:val="0"/>
          <w:numId w:val="2"/>
        </w:numPr>
        <w:spacing w:after="100" w:line="288"/>
      </w:pPr>
      <w:r>
        <w:rPr>
          <w:rFonts w:ascii="Calibri" w:cs="Calibri" w:eastAsia="Calibri" w:hAnsi="Calibri"/>
          <w:sz w:val="22"/>
          <w:szCs w:val="22"/>
        </w:rPr>
        <w:t xml:space="preserve">The TCO stays the named point of contact throughout. The patient rings the TCO, not the practice.</w:t>
      </w:r>
    </w:p>
    <w:p>
      <w:pPr>
        <w:pStyle w:val="ListParagraph"/>
        <w:numPr>
          <w:ilvl w:val="0"/>
          <w:numId w:val="2"/>
        </w:numPr>
        <w:spacing w:after="100" w:line="288"/>
      </w:pPr>
      <w:r>
        <w:rPr>
          <w:rFonts w:ascii="Calibri" w:cs="Calibri" w:eastAsia="Calibri" w:hAnsi="Calibri"/>
          <w:sz w:val="22"/>
          <w:szCs w:val="22"/>
        </w:rPr>
        <w:t xml:space="preserve">The TCO watches for anything drifting, whether that is a missed appointment, wavering, or a payment issue, and acts before it becomes a problem.</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Q5  </w:t>
      </w:r>
      <w:r>
        <w:rPr>
          <w:rFonts w:ascii="Calibri" w:cs="Calibri" w:eastAsia="Calibri" w:hAnsi="Calibri"/>
          <w:sz w:val="22"/>
          <w:szCs w:val="22"/>
        </w:rPr>
        <w:t xml:space="preserve">Reception currently makes a day-after-treatment call to every patient. For guided patients, is that the TCO’s call instead? It should not happen twice.</w:t>
      </w:r>
    </w:p>
    <w:p>
      <w:pPr>
        <w:pStyle w:val="Heading2"/>
        <w:spacing w:after="140" w:before="320"/>
      </w:pPr>
      <w:r>
        <w:rPr>
          <w:rFonts w:ascii="Calibri" w:cs="Calibri" w:eastAsia="Calibri" w:hAnsi="Calibri"/>
          <w:b/>
          <w:bCs/>
          <w:color w:val="000000"/>
          <w:sz w:val="26"/>
          <w:szCs w:val="26"/>
        </w:rPr>
        <w:t xml:space="preserve">4.11   The finish</w:t>
      </w:r>
    </w:p>
    <w:p>
      <w:pPr>
        <w:spacing w:after="160" w:line="288"/>
      </w:pPr>
      <w:r>
        <w:rPr>
          <w:rFonts w:ascii="Calibri" w:cs="Calibri" w:eastAsia="Calibri" w:hAnsi="Calibri"/>
          <w:sz w:val="22"/>
          <w:szCs w:val="22"/>
        </w:rPr>
        <w:t xml:space="preserve">The last appointment is a designed event, not just the absence of further appointments.</w:t>
      </w:r>
    </w:p>
    <w:p>
      <w:pPr>
        <w:pStyle w:val="ListParagraph"/>
        <w:numPr>
          <w:ilvl w:val="0"/>
          <w:numId w:val="6"/>
        </w:numPr>
        <w:spacing w:after="100" w:line="288"/>
      </w:pPr>
      <w:r>
        <w:rPr>
          <w:rFonts w:ascii="Calibri" w:cs="Calibri" w:eastAsia="Calibri" w:hAnsi="Calibri"/>
          <w:b/>
          <w:bCs/>
          <w:sz w:val="22"/>
          <w:szCs w:val="22"/>
        </w:rPr>
        <w:t xml:space="preserve">Final clinical photographs.</w:t>
      </w:r>
    </w:p>
    <w:p>
      <w:pPr>
        <w:pStyle w:val="ListParagraph"/>
        <w:numPr>
          <w:ilvl w:val="0"/>
          <w:numId w:val="6"/>
        </w:numPr>
        <w:spacing w:after="100" w:line="288"/>
      </w:pPr>
      <w:r>
        <w:rPr>
          <w:rFonts w:ascii="Calibri" w:cs="Calibri" w:eastAsia="Calibri" w:hAnsi="Calibri"/>
          <w:b/>
          <w:bCs/>
          <w:sz w:val="22"/>
          <w:szCs w:val="22"/>
        </w:rPr>
        <w:t xml:space="preserve">The reveal.</w:t>
      </w:r>
      <w:r>
        <w:rPr>
          <w:rFonts w:ascii="Calibri" w:cs="Calibri" w:eastAsia="Calibri" w:hAnsi="Calibri"/>
          <w:sz w:val="22"/>
          <w:szCs w:val="22"/>
        </w:rPr>
        <w:t xml:space="preserve"> Before and after side by side on the screen. Here is where you started, here is where you have got to.</w:t>
      </w:r>
    </w:p>
    <w:p>
      <w:pPr>
        <w:pStyle w:val="ListParagraph"/>
        <w:numPr>
          <w:ilvl w:val="0"/>
          <w:numId w:val="6"/>
        </w:numPr>
        <w:spacing w:after="100" w:line="288"/>
      </w:pPr>
      <w:r>
        <w:rPr>
          <w:rFonts w:ascii="Calibri" w:cs="Calibri" w:eastAsia="Calibri" w:hAnsi="Calibri"/>
          <w:b/>
          <w:bCs/>
          <w:sz w:val="22"/>
          <w:szCs w:val="22"/>
        </w:rPr>
        <w:t xml:space="preserve">Video testimonial.</w:t>
      </w:r>
    </w:p>
    <w:p>
      <w:pPr>
        <w:pStyle w:val="ListParagraph"/>
        <w:numPr>
          <w:ilvl w:val="0"/>
          <w:numId w:val="6"/>
        </w:numPr>
        <w:spacing w:after="100" w:line="288"/>
      </w:pPr>
      <w:r>
        <w:rPr>
          <w:rFonts w:ascii="Calibri" w:cs="Calibri" w:eastAsia="Calibri" w:hAnsi="Calibri"/>
          <w:b/>
          <w:bCs/>
          <w:sz w:val="22"/>
          <w:szCs w:val="22"/>
        </w:rPr>
        <w:t xml:space="preserve">Social media consent,</w:t>
      </w:r>
      <w:r>
        <w:rPr>
          <w:rFonts w:ascii="Calibri" w:cs="Calibri" w:eastAsia="Calibri" w:hAnsi="Calibri"/>
          <w:sz w:val="22"/>
          <w:szCs w:val="22"/>
        </w:rPr>
        <w:t xml:space="preserve"> asked separately and explicitly.</w:t>
      </w:r>
    </w:p>
    <w:p>
      <w:pPr>
        <w:pStyle w:val="ListParagraph"/>
        <w:numPr>
          <w:ilvl w:val="0"/>
          <w:numId w:val="6"/>
        </w:numPr>
        <w:spacing w:after="100" w:line="288"/>
      </w:pPr>
      <w:r>
        <w:rPr>
          <w:rFonts w:ascii="Calibri" w:cs="Calibri" w:eastAsia="Calibri" w:hAnsi="Calibri"/>
          <w:b/>
          <w:bCs/>
          <w:sz w:val="22"/>
          <w:szCs w:val="22"/>
        </w:rPr>
        <w:t xml:space="preserve">Google review.</w:t>
      </w:r>
    </w:p>
    <w:p>
      <w:pPr>
        <w:pStyle w:val="ListParagraph"/>
        <w:numPr>
          <w:ilvl w:val="0"/>
          <w:numId w:val="6"/>
        </w:numPr>
        <w:spacing w:after="100" w:line="288"/>
      </w:pPr>
      <w:r>
        <w:rPr>
          <w:rFonts w:ascii="Calibri" w:cs="Calibri" w:eastAsia="Calibri" w:hAnsi="Calibri"/>
          <w:b/>
          <w:bCs/>
          <w:sz w:val="22"/>
          <w:szCs w:val="22"/>
        </w:rPr>
        <w:t xml:space="preserve">The referral ask.</w:t>
      </w:r>
    </w:p>
    <w:p>
      <w:pPr>
        <w:spacing w:after="160" w:line="288"/>
      </w:pPr>
      <w:r>
        <w:rPr>
          <w:rFonts w:ascii="Calibri" w:cs="Calibri" w:eastAsia="Calibri" w:hAnsi="Calibri"/>
          <w:sz w:val="22"/>
          <w:szCs w:val="22"/>
        </w:rPr>
        <w:t xml:space="preserve">By this point Avenue has seen this patient perhaps a dozen times over several months, and you are asking at the peak of the relationship, from someone who has just seen their own before and after. That is a completely different ask from a text message two hours after a filling. It also feeds the case portfolio the next patient sees, so the journey compounds.</w:t>
      </w:r>
    </w:p>
    <w:p>
      <w:pPr>
        <w:pStyle w:val="Heading2"/>
        <w:spacing w:after="140" w:before="320"/>
      </w:pPr>
      <w:r>
        <w:rPr>
          <w:rFonts w:ascii="Calibri" w:cs="Calibri" w:eastAsia="Calibri" w:hAnsi="Calibri"/>
          <w:b/>
          <w:bCs/>
          <w:color w:val="000000"/>
          <w:sz w:val="26"/>
          <w:szCs w:val="26"/>
        </w:rPr>
        <w:t xml:space="preserve">4.12   When something goes wrong</w:t>
      </w:r>
    </w:p>
    <w:p>
      <w:pPr>
        <w:spacing w:after="160" w:line="288"/>
      </w:pPr>
      <w:r>
        <w:rPr>
          <w:rFonts w:ascii="Calibri" w:cs="Calibri" w:eastAsia="Calibri" w:hAnsi="Calibri"/>
          <w:sz w:val="22"/>
          <w:szCs w:val="22"/>
        </w:rPr>
        <w:t xml:space="preserve">The person who knows the patient handles it, not a stranger.</w:t>
      </w:r>
    </w:p>
    <w:p>
      <w:pPr>
        <w:spacing w:after="160" w:line="288"/>
      </w:pPr>
      <w:r>
        <w:rPr>
          <w:rFonts w:ascii="Calibri" w:cs="Calibri" w:eastAsia="Calibri" w:hAnsi="Calibri"/>
          <w:sz w:val="22"/>
          <w:szCs w:val="22"/>
        </w:rPr>
        <w:t xml:space="preserve">Today this all lands on the practice manager. Under the new model, if the TCO owns the relationship then the TCO owns the difficulty too, and the outcome will be better, because the patient is talking to someone they trust rather than an office manager they have never met.</w:t>
      </w:r>
    </w:p>
    <w:tbl>
      <w:tblPr>
        <w:tblW w:type="dxa" w:w="9026"/>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4126"/>
        <w:gridCol w:w="2700"/>
      </w:tblGrid>
      <w:tr>
        <w:trPr>
          <w:tblHeader/>
        </w:trPr>
        <w:tc>
          <w:tcPr>
            <w:tcW w:type="dxa" w:w="2200"/>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Level</w:t>
            </w:r>
          </w:p>
        </w:tc>
        <w:tc>
          <w:tcPr>
            <w:tcW w:type="dxa" w:w="4126"/>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Example</w:t>
            </w:r>
          </w:p>
        </w:tc>
        <w:tc>
          <w:tcPr>
            <w:tcW w:type="dxa" w:w="2700"/>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Who owns it</w:t>
            </w:r>
          </w:p>
        </w:tc>
      </w:tr>
      <w:t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 niggle</w:t>
            </w:r>
          </w:p>
        </w:tc>
        <w:tc>
          <w:tcPr>
            <w:tcW w:type="dxa" w:w="41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Ran late, lost time off work, mild irritation</w:t>
            </w:r>
          </w:p>
        </w:tc>
        <w:tc>
          <w:tcPr>
            <w:tcW w:type="dxa" w:w="2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TCO handles it</w:t>
            </w:r>
          </w:p>
        </w:tc>
      </w:tr>
      <w:tr>
        <w:tc>
          <w:tcPr>
            <w:tcW w:type="dxa" w:w="22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 verbal concern</w:t>
            </w:r>
          </w:p>
        </w:tc>
        <w:tc>
          <w:tcPr>
            <w:tcW w:type="dxa" w:w="41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Unhappy with an aspect of care or communication</w:t>
            </w:r>
          </w:p>
        </w:tc>
        <w:tc>
          <w:tcPr>
            <w:tcW w:type="dxa" w:w="27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TCO handles it,</w:t>
            </w:r>
            <w:r>
              <w:rPr>
                <w:rFonts w:ascii="Calibri" w:cs="Calibri" w:eastAsia="Calibri" w:hAnsi="Calibri"/>
                <w:b w:val="false"/>
                <w:bCs w:val="false"/>
                <w:color w:val="000000"/>
                <w:sz w:val="21"/>
                <w:szCs w:val="21"/>
              </w:rPr>
              <w:t xml:space="preserve"> and logs it</w:t>
            </w:r>
          </w:p>
        </w:tc>
      </w:tr>
      <w:t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 formal written complaint</w:t>
            </w:r>
          </w:p>
        </w:tc>
        <w:tc>
          <w:tcPr>
            <w:tcW w:type="dxa" w:w="41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Anything submitted in writing</w:t>
            </w:r>
          </w:p>
        </w:tc>
        <w:tc>
          <w:tcPr>
            <w:tcW w:type="dxa" w:w="2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Escalate to the practice manager</w:t>
            </w:r>
          </w:p>
        </w:tc>
      </w:tr>
      <w:tr>
        <w:tc>
          <w:tcPr>
            <w:tcW w:type="dxa" w:w="2200"/>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Anything clinical</w:t>
            </w:r>
          </w:p>
        </w:tc>
        <w:tc>
          <w:tcPr>
            <w:tcW w:type="dxa" w:w="41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Treatment failure, adverse outcome, anything with regulatory weight</w:t>
            </w:r>
          </w:p>
        </w:tc>
        <w:tc>
          <w:tcPr>
            <w:tcW w:type="dxa" w:w="27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Escalate immediately.</w:t>
            </w:r>
            <w:r>
              <w:rPr>
                <w:rFonts w:ascii="Calibri" w:cs="Calibri" w:eastAsia="Calibri" w:hAnsi="Calibri"/>
                <w:b w:val="false"/>
                <w:bCs w:val="false"/>
                <w:color w:val="000000"/>
                <w:sz w:val="21"/>
                <w:szCs w:val="21"/>
              </w:rPr>
              <w:t xml:space="preserve"> TCO stays as the patient’s contact.</w:t>
            </w:r>
          </w:p>
        </w:tc>
      </w:tr>
    </w:tbl>
    <w:p>
      <w:pPr>
        <w:spacing w:after="160"/>
      </w:pPr>
      <w:r>
        <w:rPr>
          <w:sz w:val="12"/>
          <w:szCs w:val="12"/>
        </w:rPr>
        <w:t xml:space="preserve"/>
      </w:r>
    </w:p>
    <w:p>
      <w:pPr>
        <w:spacing w:after="160" w:line="288"/>
      </w:pPr>
      <w:r>
        <w:rPr>
          <w:rFonts w:ascii="Calibri" w:cs="Calibri" w:eastAsia="Calibri" w:hAnsi="Calibri"/>
          <w:sz w:val="22"/>
          <w:szCs w:val="22"/>
        </w:rPr>
        <w:t xml:space="preserve">The TCO standard at the first two levels: acknowledge our part, do not deflect, look for a resolution, and be clear about what you can and cannot offer.</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Q6  </w:t>
      </w:r>
      <w:r>
        <w:rPr>
          <w:rFonts w:ascii="Calibri" w:cs="Calibri" w:eastAsia="Calibri" w:hAnsi="Calibri"/>
          <w:sz w:val="22"/>
          <w:szCs w:val="22"/>
        </w:rPr>
        <w:t xml:space="preserve">Where exactly is the line? We need the escalation criteria written out so the TCO is not judging it in the moment. Bobby offered to map this.</w:t>
      </w:r>
    </w:p>
    <w:p>
      <w:pPr>
        <w:pBdr>
          <w:bottom w:val="single" w:color="D9D9D9" w:sz="6" w:space="4"/>
        </w:pBdr>
        <w:spacing w:after="200" w:before="200"/>
      </w:pPr>
      <w:r>
        <w:rPr>
          <w:rFonts w:ascii="Calibri" w:cs="Calibri" w:eastAsia="Calibri" w:hAnsi="Calibri"/>
          <w:sz w:val="8"/>
          <w:szCs w:val="8"/>
        </w:rPr>
        <w:t xml:space="preserve"/>
      </w:r>
    </w:p>
    <w:p>
      <w:pPr>
        <w:pStyle w:val="Heading1"/>
        <w:spacing w:after="200" w:before="400"/>
      </w:pPr>
      <w:r>
        <w:rPr>
          <w:rFonts w:ascii="Calibri" w:cs="Calibri" w:eastAsia="Calibri" w:hAnsi="Calibri"/>
          <w:b/>
          <w:bCs/>
          <w:color w:val="1F4E79"/>
          <w:sz w:val="32"/>
          <w:szCs w:val="32"/>
        </w:rPr>
        <w:t xml:space="preserve">5.  What this changes for everyone else</w:t>
      </w:r>
    </w:p>
    <w:p>
      <w:pPr>
        <w:pBdr>
          <w:top w:val="single" w:color="FBF0E8" w:sz="2" w:space="8"/>
          <w:bottom w:val="single" w:color="FBF0E8" w:sz="2" w:space="8"/>
          <w:left w:val="single" w:color="9C4221" w:sz="18" w:space="8"/>
          <w:right w:val="single" w:color="FBF0E8" w:sz="2" w:space="8"/>
        </w:pBdr>
        <w:shd w:fill="FBF0E8" w:color="auto" w:val="clear"/>
        <w:spacing w:after="180" w:before="140" w:line="288"/>
        <w:ind w:left="180" w:right="180"/>
      </w:pPr>
      <w:r>
        <w:rPr>
          <w:rFonts w:ascii="Calibri" w:cs="Calibri" w:eastAsia="Calibri" w:hAnsi="Calibri"/>
          <w:b/>
          <w:bCs/>
          <w:color w:val="9C4221"/>
          <w:spacing w:val="20"/>
          <w:sz w:val="20"/>
          <w:szCs w:val="20"/>
        </w:rPr>
        <w:t xml:space="preserve">CHANGE   </w:t>
      </w:r>
      <w:r>
        <w:rPr>
          <w:rFonts w:ascii="Calibri" w:cs="Calibri" w:eastAsia="Calibri" w:hAnsi="Calibri"/>
          <w:sz w:val="22"/>
          <w:szCs w:val="22"/>
        </w:rPr>
        <w:t xml:space="preserve">This section is the part most likely to surprise people, because it is about roles nobody has been talking about.</w:t>
      </w:r>
    </w:p>
    <w:p>
      <w:pPr>
        <w:spacing w:after="160" w:line="288"/>
      </w:pPr>
      <w:r>
        <w:rPr>
          <w:rFonts w:ascii="Calibri" w:cs="Calibri" w:eastAsia="Calibri" w:hAnsi="Calibri"/>
          <w:b/>
          <w:bCs/>
          <w:sz w:val="22"/>
          <w:szCs w:val="22"/>
        </w:rPr>
        <w:t xml:space="preserve">Reception.</w:t>
      </w:r>
      <w:r>
        <w:rPr>
          <w:rFonts w:ascii="Calibri" w:cs="Calibri" w:eastAsia="Calibri" w:hAnsi="Calibri"/>
          <w:sz w:val="22"/>
          <w:szCs w:val="22"/>
        </w:rPr>
        <w:t xml:space="preserve"> Similar shape, narrower scope, higher bar within it. They lose new patient intake, the enquiry pipeline, and the commercial conversation. They keep and go deeper on the front of house, the existing patient base, schedule integrity, the short notice list, confirmations, balances, and checkout. Their job description has to say explicitly that new patient enquiries route away from them, because that behaviour will not change on its own.</w:t>
      </w:r>
    </w:p>
    <w:p>
      <w:pPr>
        <w:spacing w:after="160" w:line="288"/>
      </w:pPr>
      <w:r>
        <w:rPr>
          <w:rFonts w:ascii="Calibri" w:cs="Calibri" w:eastAsia="Calibri" w:hAnsi="Calibri"/>
          <w:b/>
          <w:bCs/>
          <w:sz w:val="22"/>
          <w:szCs w:val="22"/>
        </w:rPr>
        <w:t xml:space="preserve">Nurse.</w:t>
      </w:r>
      <w:r>
        <w:rPr>
          <w:rFonts w:ascii="Calibri" w:cs="Calibri" w:eastAsia="Calibri" w:hAnsi="Calibri"/>
          <w:sz w:val="22"/>
          <w:szCs w:val="22"/>
        </w:rPr>
        <w:t xml:space="preserve"> Least affected of anyone. Add the handoff to and from the TCO. Everything else stands.</w:t>
      </w:r>
    </w:p>
    <w:p>
      <w:pPr>
        <w:spacing w:after="160" w:line="288"/>
      </w:pPr>
      <w:r>
        <w:rPr>
          <w:rFonts w:ascii="Calibri" w:cs="Calibri" w:eastAsia="Calibri" w:hAnsi="Calibri"/>
          <w:b/>
          <w:bCs/>
          <w:sz w:val="22"/>
          <w:szCs w:val="22"/>
        </w:rPr>
        <w:t xml:space="preserve">Dentist.</w:t>
      </w:r>
      <w:r>
        <w:rPr>
          <w:rFonts w:ascii="Calibri" w:cs="Calibri" w:eastAsia="Calibri" w:hAnsi="Calibri"/>
          <w:sz w:val="22"/>
          <w:szCs w:val="22"/>
        </w:rPr>
        <w:t xml:space="preserve"> No fee presentation, no objection handling, protected chair time, and a new obligation to confer with the TCO on staging and timeframes before the patient leaves.</w:t>
      </w:r>
    </w:p>
    <w:p>
      <w:pPr>
        <w:spacing w:after="160" w:line="288"/>
      </w:pPr>
      <w:r>
        <w:rPr>
          <w:rFonts w:ascii="Calibri" w:cs="Calibri" w:eastAsia="Calibri" w:hAnsi="Calibri"/>
          <w:b/>
          <w:bCs/>
          <w:sz w:val="22"/>
          <w:szCs w:val="22"/>
        </w:rPr>
        <w:t xml:space="preserve">Practice manager.</w:t>
      </w:r>
      <w:r>
        <w:rPr>
          <w:rFonts w:ascii="Calibri" w:cs="Calibri" w:eastAsia="Calibri" w:hAnsi="Calibri"/>
          <w:sz w:val="22"/>
          <w:szCs w:val="22"/>
        </w:rPr>
        <w:t xml:space="preserve"> Per Tim, this is the one that changes most after the TCO. It moves from doing to verifying and developing. It stops being the default owner of unhappy patients, which frees up real capacity. It gains a weekly case acceptance review with the TCO, and ownership of the numbers that come out of this journey.</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Q7  </w:t>
      </w:r>
      <w:r>
        <w:rPr>
          <w:rFonts w:ascii="Calibri" w:cs="Calibri" w:eastAsia="Calibri" w:hAnsi="Calibri"/>
          <w:sz w:val="22"/>
          <w:szCs w:val="22"/>
        </w:rPr>
        <w:t xml:space="preserve">Who does the TCO report to, and who coaches them? The practice manager, or Bobby directly?</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Q8  </w:t>
      </w:r>
      <w:r>
        <w:rPr>
          <w:rFonts w:ascii="Calibri" w:cs="Calibri" w:eastAsia="Calibri" w:hAnsi="Calibri"/>
          <w:sz w:val="22"/>
          <w:szCs w:val="22"/>
        </w:rPr>
        <w:t xml:space="preserve">Is the TCO incentivised? UK practices vary between a percentage, a fee per patient booked, and salary only. This changes the KPI set materially, so it needs deciding before we write them.</w:t>
      </w:r>
    </w:p>
    <w:p>
      <w:pPr>
        <w:pBdr>
          <w:top w:val="single" w:color="EDF3F8" w:sz="2" w:space="8"/>
          <w:bottom w:val="single" w:color="EDF3F8" w:sz="2" w:space="8"/>
          <w:left w:val="single" w:color="1F4E79" w:sz="18" w:space="8"/>
          <w:right w:val="single" w:color="EDF3F8" w:sz="2" w:space="8"/>
        </w:pBdr>
        <w:shd w:fill="EDF3F8" w:color="auto" w:val="clear"/>
        <w:spacing w:after="180" w:before="140" w:line="288"/>
        <w:ind w:left="180" w:right="180"/>
      </w:pPr>
      <w:r>
        <w:rPr>
          <w:rFonts w:ascii="Calibri" w:cs="Calibri" w:eastAsia="Calibri" w:hAnsi="Calibri"/>
          <w:b/>
          <w:bCs/>
          <w:color w:val="1F4E79"/>
          <w:sz w:val="22"/>
          <w:szCs w:val="22"/>
        </w:rPr>
        <w:t xml:space="preserve">Q9  </w:t>
      </w:r>
      <w:r>
        <w:rPr>
          <w:rFonts w:ascii="Calibri" w:cs="Calibri" w:eastAsia="Calibri" w:hAnsi="Calibri"/>
          <w:sz w:val="22"/>
          <w:szCs w:val="22"/>
        </w:rPr>
        <w:t xml:space="preserve">Where does hygiene sit? It does not currently appear anywhere in this journey.</w:t>
      </w:r>
    </w:p>
    <w:p>
      <w:pPr>
        <w:pBdr>
          <w:bottom w:val="single" w:color="D9D9D9" w:sz="6" w:space="4"/>
        </w:pBdr>
        <w:spacing w:after="200" w:before="200"/>
      </w:pPr>
      <w:r>
        <w:rPr>
          <w:rFonts w:ascii="Calibri" w:cs="Calibri" w:eastAsia="Calibri" w:hAnsi="Calibri"/>
          <w:sz w:val="8"/>
          <w:szCs w:val="8"/>
        </w:rPr>
        <w:t xml:space="preserve"/>
      </w:r>
    </w:p>
    <w:p>
      <w:pPr>
        <w:pStyle w:val="Heading1"/>
        <w:spacing w:after="200" w:before="400"/>
      </w:pPr>
      <w:r>
        <w:rPr>
          <w:rFonts w:ascii="Calibri" w:cs="Calibri" w:eastAsia="Calibri" w:hAnsi="Calibri"/>
          <w:b/>
          <w:bCs/>
          <w:color w:val="1F4E79"/>
          <w:sz w:val="32"/>
          <w:szCs w:val="32"/>
        </w:rPr>
        <w:t xml:space="preserve">6.  The open questions, collected</w:t>
      </w:r>
    </w:p>
    <w:p>
      <w:pPr>
        <w:spacing w:after="160" w:line="288"/>
      </w:pPr>
      <w:r>
        <w:rPr>
          <w:rFonts w:ascii="Calibri" w:cs="Calibri" w:eastAsia="Calibri" w:hAnsi="Calibri"/>
          <w:sz w:val="22"/>
          <w:szCs w:val="22"/>
        </w:rPr>
        <w:t xml:space="preserve">These are the ones we cannot answer for you. Most of them affect headcount or money.</w:t>
      </w:r>
    </w:p>
    <w:tbl>
      <w:tblPr>
        <w:tblW w:type="dxa" w:w="9026"/>
        <w:tblBorders>
          <w:top w:val="single" w:color="D0D7DE" w:sz="2"/>
          <w:left w:val="single" w:color="D0D7DE" w:sz="2"/>
          <w:bottom w:val="single" w:color="D0D7DE" w:sz="2"/>
          <w:right w:val="single" w:color="D0D7DE" w:sz="2"/>
          <w:insideH w:val="single" w:color="D0D7DE" w:sz="2"/>
          <w:insideV w:val="single" w:color="D0D7DE" w:sz="2"/>
        </w:tblBorders>
      </w:tblPr>
      <w:tblGrid>
        <w:gridCol w:w="700"/>
        <w:gridCol w:w="8326"/>
      </w:tblGrid>
      <w:tr>
        <w:trPr>
          <w:tblHeader/>
        </w:trPr>
        <w:tc>
          <w:tcPr>
            <w:tcW w:type="dxa" w:w="700"/>
            <w:shd w:fill="1F4E79" w:color="auto" w:val="clear"/>
            <w:tcMar>
              <w:top w:type="dxa" w:w="80"/>
              <w:left w:type="dxa" w:w="120"/>
              <w:bottom w:type="dxa" w:w="80"/>
              <w:right w:type="dxa" w:w="120"/>
            </w:tcMar>
          </w:tcPr>
          <w:p>
            <w:pPr>
              <w:spacing w:after="0" w:line="264"/>
            </w:pPr>
          </w:p>
        </w:tc>
        <w:tc>
          <w:tcPr>
            <w:tcW w:type="dxa" w:w="8326"/>
            <w:shd w:fill="1F4E79" w:color="auto" w:val="clear"/>
            <w:tcMar>
              <w:top w:type="dxa" w:w="80"/>
              <w:left w:type="dxa" w:w="120"/>
              <w:bottom w:type="dxa" w:w="80"/>
              <w:right w:type="dxa" w:w="120"/>
            </w:tcMar>
          </w:tcPr>
          <w:p>
            <w:pPr>
              <w:spacing w:after="0" w:line="264"/>
            </w:pPr>
            <w:r>
              <w:rPr>
                <w:rFonts w:ascii="Calibri" w:cs="Calibri" w:eastAsia="Calibri" w:hAnsi="Calibri"/>
                <w:b/>
                <w:bCs/>
                <w:color w:val="FFFFFF"/>
                <w:sz w:val="21"/>
                <w:szCs w:val="21"/>
              </w:rPr>
              <w:t xml:space="preserve">Question</w:t>
            </w:r>
          </w:p>
        </w:tc>
      </w:tr>
      <w:tr>
        <w:tc>
          <w:tcPr>
            <w:tcW w:type="dxa" w:w="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1</w:t>
            </w:r>
          </w:p>
        </w:tc>
        <w:tc>
          <w:tcPr>
            <w:tcW w:type="dxa" w:w="83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All new patients through the TCO, or high value only to start with?</w:t>
            </w:r>
          </w:p>
        </w:tc>
      </w:tr>
      <w:tr>
        <w:tc>
          <w:tcPr>
            <w:tcW w:type="dxa" w:w="7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2</w:t>
            </w:r>
          </w:p>
        </w:tc>
        <w:tc>
          <w:tcPr>
            <w:tcW w:type="dxa" w:w="83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One TCO or two, at current enquiry volume?</w:t>
            </w:r>
          </w:p>
        </w:tc>
      </w:tr>
      <w:tr>
        <w:tc>
          <w:tcPr>
            <w:tcW w:type="dxa" w:w="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3</w:t>
            </w:r>
          </w:p>
        </w:tc>
        <w:tc>
          <w:tcPr>
            <w:tcW w:type="dxa" w:w="83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Is the enquiry response standard 20 minutes or 10? Reception works to 10 today.</w:t>
            </w:r>
          </w:p>
        </w:tc>
      </w:tr>
      <w:tr>
        <w:tc>
          <w:tcPr>
            <w:tcW w:type="dxa" w:w="7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4</w:t>
            </w:r>
          </w:p>
        </w:tc>
        <w:tc>
          <w:tcPr>
            <w:tcW w:type="dxa" w:w="83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What is the welcome pack lead time rule?</w:t>
            </w:r>
          </w:p>
        </w:tc>
      </w:tr>
      <w:tr>
        <w:tc>
          <w:tcPr>
            <w:tcW w:type="dxa" w:w="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5</w:t>
            </w:r>
          </w:p>
        </w:tc>
        <w:tc>
          <w:tcPr>
            <w:tcW w:type="dxa" w:w="83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Who makes the day-after-treatment call for guided patients, TCO or reception?</w:t>
            </w:r>
          </w:p>
        </w:tc>
      </w:tr>
      <w:tr>
        <w:tc>
          <w:tcPr>
            <w:tcW w:type="dxa" w:w="7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6</w:t>
            </w:r>
          </w:p>
        </w:tc>
        <w:tc>
          <w:tcPr>
            <w:tcW w:type="dxa" w:w="83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Where is the complaint escalation line, exactly?</w:t>
            </w:r>
          </w:p>
        </w:tc>
      </w:tr>
      <w:tr>
        <w:tc>
          <w:tcPr>
            <w:tcW w:type="dxa" w:w="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7</w:t>
            </w:r>
          </w:p>
        </w:tc>
        <w:tc>
          <w:tcPr>
            <w:tcW w:type="dxa" w:w="83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Who does the TCO report to, and who coaches them?</w:t>
            </w:r>
          </w:p>
        </w:tc>
      </w:tr>
      <w:tr>
        <w:tc>
          <w:tcPr>
            <w:tcW w:type="dxa" w:w="7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8</w:t>
            </w:r>
          </w:p>
        </w:tc>
        <w:tc>
          <w:tcPr>
            <w:tcW w:type="dxa" w:w="83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Is the TCO incentivised, and how?</w:t>
            </w:r>
          </w:p>
        </w:tc>
      </w:tr>
      <w:tr>
        <w:tc>
          <w:tcPr>
            <w:tcW w:type="dxa" w:w="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9</w:t>
            </w:r>
          </w:p>
        </w:tc>
        <w:tc>
          <w:tcPr>
            <w:tcW w:type="dxa" w:w="83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Where does hygiene fit in all of this?</w:t>
            </w:r>
          </w:p>
        </w:tc>
      </w:tr>
      <w:tr>
        <w:tc>
          <w:tcPr>
            <w:tcW w:type="dxa" w:w="700"/>
            <w:shd w:fill="F5F7FA" w:color="auto" w:val="clear"/>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10</w:t>
            </w:r>
          </w:p>
        </w:tc>
        <w:tc>
          <w:tcPr>
            <w:tcW w:type="dxa" w:w="8326"/>
            <w:shd w:fill="F5F7FA" w:color="auto" w:val="clear"/>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What proportion of enquiries arrive online versus by phone now? Bobby believes online now leads, and it changes how the TCO’s day is structured.</w:t>
            </w:r>
          </w:p>
        </w:tc>
      </w:tr>
      <w:tr>
        <w:tc>
          <w:tcPr>
            <w:tcW w:type="dxa" w:w="700"/>
            <w:tcMar>
              <w:top w:type="dxa" w:w="80"/>
              <w:left w:type="dxa" w:w="120"/>
              <w:bottom w:type="dxa" w:w="80"/>
              <w:right w:type="dxa" w:w="120"/>
            </w:tcMar>
          </w:tcPr>
          <w:p>
            <w:pPr>
              <w:spacing w:after="0" w:line="264"/>
            </w:pPr>
            <w:r>
              <w:rPr>
                <w:rFonts w:ascii="Calibri" w:cs="Calibri" w:eastAsia="Calibri" w:hAnsi="Calibri"/>
                <w:b/>
                <w:bCs/>
                <w:color w:val="000000"/>
                <w:sz w:val="21"/>
                <w:szCs w:val="21"/>
              </w:rPr>
              <w:t xml:space="preserve">11</w:t>
            </w:r>
          </w:p>
        </w:tc>
        <w:tc>
          <w:tcPr>
            <w:tcW w:type="dxa" w:w="8326"/>
            <w:tcMar>
              <w:top w:type="dxa" w:w="80"/>
              <w:left w:type="dxa" w:w="120"/>
              <w:bottom w:type="dxa" w:w="80"/>
              <w:right w:type="dxa" w:w="120"/>
            </w:tcMar>
          </w:tcPr>
          <w:p>
            <w:pPr>
              <w:spacing w:after="0" w:line="264"/>
            </w:pPr>
            <w:r>
              <w:rPr>
                <w:rFonts w:ascii="Calibri" w:cs="Calibri" w:eastAsia="Calibri" w:hAnsi="Calibri"/>
                <w:b w:val="false"/>
                <w:bCs w:val="false"/>
                <w:color w:val="000000"/>
                <w:sz w:val="21"/>
                <w:szCs w:val="21"/>
              </w:rPr>
              <w:t xml:space="preserve">Anything in here that has changed since we spoke, or that we have simply written down wrong.</w:t>
            </w:r>
          </w:p>
        </w:tc>
      </w:tr>
    </w:tbl>
    <w:p>
      <w:pPr>
        <w:spacing w:after="160"/>
      </w:pPr>
      <w:r>
        <w:rPr>
          <w:sz w:val="12"/>
          <w:szCs w:val="12"/>
        </w:rPr>
        <w:t xml:space="preserve"/>
      </w:r>
    </w:p>
    <w:p>
      <w:pPr>
        <w:pBdr>
          <w:bottom w:val="single" w:color="D9D9D9" w:sz="6" w:space="4"/>
        </w:pBdr>
        <w:spacing w:after="200" w:before="200"/>
      </w:pPr>
      <w:r>
        <w:rPr>
          <w:rFonts w:ascii="Calibri" w:cs="Calibri" w:eastAsia="Calibri" w:hAnsi="Calibri"/>
          <w:sz w:val="8"/>
          <w:szCs w:val="8"/>
        </w:rPr>
        <w:t xml:space="preserve"/>
      </w:r>
    </w:p>
    <w:p>
      <w:pPr>
        <w:pStyle w:val="Heading1"/>
        <w:spacing w:after="200" w:before="400"/>
      </w:pPr>
      <w:r>
        <w:rPr>
          <w:rFonts w:ascii="Calibri" w:cs="Calibri" w:eastAsia="Calibri" w:hAnsi="Calibri"/>
          <w:b/>
          <w:bCs/>
          <w:color w:val="1F4E79"/>
          <w:sz w:val="32"/>
          <w:szCs w:val="32"/>
        </w:rPr>
        <w:t xml:space="preserve">7.  What happens next</w:t>
      </w:r>
    </w:p>
    <w:p>
      <w:pPr>
        <w:pStyle w:val="ListParagraph"/>
        <w:numPr>
          <w:ilvl w:val="0"/>
          <w:numId w:val="7"/>
        </w:numPr>
        <w:spacing w:after="100" w:line="288"/>
      </w:pPr>
      <w:r>
        <w:rPr>
          <w:rFonts w:ascii="Calibri" w:cs="Calibri" w:eastAsia="Calibri" w:hAnsi="Calibri"/>
          <w:b/>
          <w:bCs/>
          <w:sz w:val="22"/>
          <w:szCs w:val="22"/>
        </w:rPr>
        <w:t xml:space="preserve">You two review this.</w:t>
      </w:r>
      <w:r>
        <w:rPr>
          <w:rFonts w:ascii="Calibri" w:cs="Calibri" w:eastAsia="Calibri" w:hAnsi="Calibri"/>
          <w:sz w:val="22"/>
          <w:szCs w:val="22"/>
        </w:rPr>
        <w:t xml:space="preserve"> Bobby confirms the journey and answers the questions above. Sam pressure-tests it against what is actually happening on the floor.</w:t>
      </w:r>
    </w:p>
    <w:p>
      <w:pPr>
        <w:pStyle w:val="ListParagraph"/>
        <w:numPr>
          <w:ilvl w:val="0"/>
          <w:numId w:val="7"/>
        </w:numPr>
        <w:spacing w:after="100" w:line="288"/>
      </w:pPr>
      <w:r>
        <w:rPr>
          <w:rFonts w:ascii="Calibri" w:cs="Calibri" w:eastAsia="Calibri" w:hAnsi="Calibri"/>
          <w:b/>
          <w:bCs/>
          <w:sz w:val="22"/>
          <w:szCs w:val="22"/>
        </w:rPr>
        <w:t xml:space="preserve">We get on a call</w:t>
      </w:r>
      <w:r>
        <w:rPr>
          <w:rFonts w:ascii="Calibri" w:cs="Calibri" w:eastAsia="Calibri" w:hAnsi="Calibri"/>
          <w:sz w:val="22"/>
          <w:szCs w:val="22"/>
        </w:rPr>
        <w:t xml:space="preserve"> and talk it through properly.</w:t>
      </w:r>
    </w:p>
    <w:p>
      <w:pPr>
        <w:pStyle w:val="ListParagraph"/>
        <w:numPr>
          <w:ilvl w:val="0"/>
          <w:numId w:val="7"/>
        </w:numPr>
        <w:spacing w:after="100" w:line="288"/>
      </w:pPr>
      <w:r>
        <w:rPr>
          <w:rFonts w:ascii="Calibri" w:cs="Calibri" w:eastAsia="Calibri" w:hAnsi="Calibri"/>
          <w:b/>
          <w:bCs/>
          <w:sz w:val="22"/>
          <w:szCs w:val="22"/>
        </w:rPr>
        <w:t xml:space="preserve">We draft the job descriptions</w:t>
      </w:r>
      <w:r>
        <w:rPr>
          <w:rFonts w:ascii="Calibri" w:cs="Calibri" w:eastAsia="Calibri" w:hAnsi="Calibri"/>
          <w:sz w:val="22"/>
          <w:szCs w:val="22"/>
        </w:rPr>
        <w:t xml:space="preserve"> off the agreed journey. TCO written new, practice manager substantially revised, reception and nurse adapted. That draft comes back to the two of you to tweak as you see fit.</w:t>
      </w:r>
    </w:p>
    <w:p>
      <w:pPr>
        <w:pStyle w:val="ListParagraph"/>
        <w:numPr>
          <w:ilvl w:val="0"/>
          <w:numId w:val="7"/>
        </w:numPr>
        <w:spacing w:after="100" w:line="288"/>
      </w:pPr>
      <w:r>
        <w:rPr>
          <w:rFonts w:ascii="Calibri" w:cs="Calibri" w:eastAsia="Calibri" w:hAnsi="Calibri"/>
          <w:b/>
          <w:bCs/>
          <w:sz w:val="22"/>
          <w:szCs w:val="22"/>
        </w:rPr>
        <w:t xml:space="preserve">We build the KPIs</w:t>
      </w:r>
      <w:r>
        <w:rPr>
          <w:rFonts w:ascii="Calibri" w:cs="Calibri" w:eastAsia="Calibri" w:hAnsi="Calibri"/>
          <w:sz w:val="22"/>
          <w:szCs w:val="22"/>
        </w:rPr>
        <w:t xml:space="preserve"> off the agreed job descriptions, and those flow into the manager performance spreadsheets.</w:t>
      </w:r>
    </w:p>
    <w:p>
      <w:pPr>
        <w:pStyle w:val="ListParagraph"/>
        <w:numPr>
          <w:ilvl w:val="0"/>
          <w:numId w:val="7"/>
        </w:numPr>
        <w:spacing w:after="100" w:line="288"/>
      </w:pPr>
      <w:r>
        <w:rPr>
          <w:rFonts w:ascii="Calibri" w:cs="Calibri" w:eastAsia="Calibri" w:hAnsi="Calibri"/>
          <w:b/>
          <w:bCs/>
          <w:sz w:val="22"/>
          <w:szCs w:val="22"/>
        </w:rPr>
        <w:t xml:space="preserve">Pro Moves get written last,</w:t>
      </w:r>
      <w:r>
        <w:rPr>
          <w:rFonts w:ascii="Calibri" w:cs="Calibri" w:eastAsia="Calibri" w:hAnsi="Calibri"/>
          <w:sz w:val="22"/>
          <w:szCs w:val="22"/>
        </w:rPr>
        <w:t xml:space="preserve"> off the KPIs and the journey together. A good chunk of the TCO Pro Moves are already drafted from our earlier conversation, and this journey has filled most of the remaining gaps, but they stay parked until the descriptions are settled.</w:t>
      </w:r>
    </w:p>
    <w:p>
      <w:pPr>
        <w:spacing w:after="160" w:line="288"/>
      </w:pPr>
      <w:r>
        <w:rPr>
          <w:rFonts w:ascii="Calibri" w:cs="Calibri" w:eastAsia="Calibri" w:hAnsi="Calibri"/>
          <w:sz w:val="22"/>
          <w:szCs w:val="22"/>
        </w:rPr>
        <w:t xml:space="preserve">The order matters. Everything downstream inherits what we agree here, so this is the cheapest possible place to change our minds.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Alcan Avenue Patient Journey - Draft for Review</dc:title>
  <dc:creator>Really Good Consulting</dc:creator>
  <dc:description>Patient journey draft for Bobby Bhandal and Sam to review</dc:description>
  <cp:lastModifiedBy>Un-named</cp:lastModifiedBy>
  <cp:revision>1</cp:revision>
  <dcterms:created xsi:type="dcterms:W3CDTF">2026-07-29T17:29:26.134Z</dcterms:created>
  <dcterms:modified xsi:type="dcterms:W3CDTF">2026-07-29T17:29:26.135Z</dcterms:modified>
</cp:coreProperties>
</file>

<file path=docProps/custom.xml><?xml version="1.0" encoding="utf-8"?>
<Properties xmlns="http://schemas.openxmlformats.org/officeDocument/2006/custom-properties" xmlns:vt="http://schemas.openxmlformats.org/officeDocument/2006/docPropsVTypes"/>
</file>