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Site Visit Report, Site 07 (FICTIONAL, FOR SOFTWARE TESTING)</w:t>
      </w:r>
    </w:p>
    <w:p>
      <w:r>
        <w:t>Visit date: 21 February 2026. Principal investigator: Dr. A. Example (fictional).</w:t>
      </w:r>
    </w:p>
    <w:p>
      <w:r>
        <w:t>The site enrolled 9 participants against a target of 12. Two protocol deviations were noted: one missed Week 2 visit and one out-of-window lab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Participants enrolled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Screen failure rate</w:t>
            </w:r>
          </w:p>
        </w:tc>
        <w:tc>
          <w:tcPr>
            <w:tcW w:type="dxa" w:w="4320"/>
          </w:tcPr>
          <w:p>
            <w:r>
              <w:t>22%</w:t>
            </w:r>
          </w:p>
        </w:tc>
      </w:tr>
    </w:tbl>
    <w:p>
      <w:r>
        <w:t>Action: retrain site staff on visit windows by 15 March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