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Ruh.ai V1 Reference Pack Definition</w:t>
        <w:br/>
        <w:t>AI BuildOps Pack</w:t>
      </w:r>
    </w:p>
    <w:p>
      <w:pPr>
        <w:pStyle w:val="Subtitle"/>
        <w:spacing w:after="200"/>
      </w:pPr>
      <w:r>
        <w:t>Governed digital employees for intake, specification, implementation planning, build orchestration, evaluation, release, and post-release learning</w:t>
      </w:r>
    </w:p>
    <w:p>
      <w:pPr>
        <w:pStyle w:val="Body"/>
        <w:spacing w:after="120" w:before="0" w:line="276" w:lineRule="auto"/>
      </w:pPr>
      <w:r>
        <w:t>This document defines the first horizontal reference pack for companies that build AI products. It instantiates the platform PRD and pack specification as a reusable operating pack that turns software delivery into a governed conveyor of digital employees instead of a chain of manual handoffs.</w:t>
      </w:r>
    </w:p>
    <w:tbl>
      <w:tblPr>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83"/>
        <w:gridCol w:w="5083"/>
      </w:tblGrid>
      <w:tr>
        <w:tc>
          <w:tcPr>
            <w:tcW w:type="dxa" w:w="6336"/>
            <w:shd w:fill="E4F2EB" w:val="clear" w:color="auto"/>
            <w:vAlign w:val="top"/>
          </w:tcPr>
          <w:p>
            <w:pPr>
              <w:pStyle w:val="Body"/>
              <w:spacing w:after="80"/>
            </w:pPr>
            <w:r/>
            <w:r/>
            <w:r>
              <w:rPr>
                <w:b/>
              </w:rPr>
              <w:t>What this pack must accomplish</w:t>
            </w:r>
          </w:p>
          <w:p>
            <w:pPr>
              <w:pStyle w:val="Bullet1"/>
              <w:spacing w:after="40"/>
              <w:ind w:left="216"/>
            </w:pPr>
            <w:r>
              <w:t>Normalize messy inbound product, support, and incident signals into clean work items.</w:t>
            </w:r>
          </w:p>
          <w:p>
            <w:pPr>
              <w:pStyle w:val="Bullet1"/>
              <w:spacing w:after="40"/>
              <w:ind w:left="216"/>
            </w:pPr>
            <w:r>
              <w:t>Generate better specifications and plans before work is assigned to coding agents or engineers.</w:t>
            </w:r>
          </w:p>
          <w:p>
            <w:pPr>
              <w:pStyle w:val="Bullet1"/>
              <w:spacing w:after="40"/>
              <w:ind w:left="216"/>
            </w:pPr>
            <w:r>
              <w:t>Use digital employees to orchestrate build, eval, review, release, and post-release learning without removing human control from architecture or production.</w:t>
            </w:r>
          </w:p>
          <w:p>
            <w:pPr>
              <w:pStyle w:val="Bullet1"/>
              <w:spacing w:after="40"/>
              <w:ind w:left="216"/>
            </w:pPr>
            <w:r>
              <w:t>Stay horizontal across AI product companies by focusing on common SDLC workflows rather than one team's exact stack.</w:t>
            </w:r>
          </w:p>
        </w:tc>
        <w:tc>
          <w:tcPr>
            <w:tcW w:type="dxa" w:w="3311"/>
            <w:shd w:fill="E8EEF5" w:val="clear" w:color="auto"/>
            <w:vAlign w:val="top"/>
          </w:tcPr>
          <w:p>
            <w:pPr>
              <w:pStyle w:val="Body"/>
              <w:spacing w:after="80"/>
            </w:pPr>
            <w:r/>
            <w:r>
              <w:rPr>
                <w:b/>
              </w:rPr>
              <w:t>Document facts</w:t>
            </w:r>
          </w:p>
          <w:p>
            <w:pPr>
              <w:pStyle w:val="Body"/>
              <w:spacing w:after="40"/>
            </w:pPr>
            <w:r>
              <w:rPr>
                <w:b/>
              </w:rPr>
              <w:t xml:space="preserve">Pack ID: </w:t>
            </w:r>
            <w:r>
              <w:t>ref.ai.buildops</w:t>
            </w:r>
          </w:p>
          <w:p>
            <w:pPr>
              <w:pStyle w:val="Body"/>
              <w:spacing w:after="40"/>
            </w:pPr>
            <w:r>
              <w:rPr>
                <w:b/>
              </w:rPr>
              <w:t xml:space="preserve">Reference version: </w:t>
            </w:r>
            <w:r>
              <w:t>1.0.0</w:t>
            </w:r>
          </w:p>
          <w:p>
            <w:pPr>
              <w:pStyle w:val="Body"/>
              <w:spacing w:after="40"/>
            </w:pPr>
            <w:r>
              <w:rPr>
                <w:b/>
              </w:rPr>
              <w:t xml:space="preserve">Pack type: </w:t>
            </w:r>
            <w:r>
              <w:t>Function reference pack</w:t>
            </w:r>
          </w:p>
          <w:p>
            <w:pPr>
              <w:pStyle w:val="Body"/>
              <w:spacing w:after="40"/>
            </w:pPr>
            <w:r>
              <w:rPr>
                <w:b/>
              </w:rPr>
              <w:t xml:space="preserve">Primary deployment model: </w:t>
            </w:r>
            <w:r>
              <w:t>One tenant trust boundary; one workspace per product or repo cluster</w:t>
            </w:r>
          </w:p>
          <w:p>
            <w:pPr>
              <w:pStyle w:val="Body"/>
              <w:spacing w:after="40"/>
            </w:pPr>
            <w:r>
              <w:rPr>
                <w:b/>
              </w:rPr>
              <w:t xml:space="preserve">Conforms to: </w:t>
            </w:r>
            <w:r>
              <w:t>Ruh.ai V1 Employee Pack Specification</w:t>
            </w:r>
          </w:p>
        </w:tc>
      </w:tr>
    </w:tbl>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2541"/>
        <w:gridCol w:w="2541"/>
        <w:gridCol w:w="2541"/>
        <w:gridCol w:w="2541"/>
      </w:tblGrid>
      <w:tr>
        <w:tc>
          <w:tcPr>
            <w:tcW w:type="dxa" w:w="1800"/>
            <w:vAlign w:val="center"/>
            <w:shd w:fill="DDE8F2" w:val="clear" w:color="auto"/>
          </w:tcPr>
          <w:p>
            <w:pPr>
              <w:pStyle w:val="Body"/>
              <w:jc w:val="center"/>
            </w:pPr>
            <w:r>
              <w:rPr>
                <w:b/>
                <w:sz w:val="17"/>
              </w:rPr>
              <w:t>Outcome area</w:t>
            </w:r>
          </w:p>
        </w:tc>
        <w:tc>
          <w:tcPr>
            <w:tcW w:type="dxa" w:w="3096"/>
            <w:vAlign w:val="center"/>
            <w:shd w:fill="DDE8F2" w:val="clear" w:color="auto"/>
          </w:tcPr>
          <w:p>
            <w:pPr>
              <w:pStyle w:val="Body"/>
              <w:jc w:val="center"/>
            </w:pPr>
            <w:r>
              <w:rPr>
                <w:b/>
                <w:sz w:val="17"/>
              </w:rPr>
              <w:t>Problems removed</w:t>
            </w:r>
          </w:p>
        </w:tc>
        <w:tc>
          <w:tcPr>
            <w:tcW w:type="dxa" w:w="2304"/>
            <w:vAlign w:val="center"/>
            <w:shd w:fill="DDE8F2" w:val="clear" w:color="auto"/>
          </w:tcPr>
          <w:p>
            <w:pPr>
              <w:pStyle w:val="Body"/>
              <w:jc w:val="center"/>
            </w:pPr>
            <w:r>
              <w:rPr>
                <w:b/>
                <w:sz w:val="17"/>
              </w:rPr>
              <w:t>Primary workflows</w:t>
            </w:r>
          </w:p>
        </w:tc>
        <w:tc>
          <w:tcPr>
            <w:tcW w:type="dxa" w:w="2088"/>
            <w:vAlign w:val="center"/>
            <w:shd w:fill="DDE8F2" w:val="clear" w:color="auto"/>
          </w:tcPr>
          <w:p>
            <w:pPr>
              <w:pStyle w:val="Body"/>
              <w:jc w:val="center"/>
            </w:pPr>
            <w:r>
              <w:rPr>
                <w:b/>
                <w:sz w:val="17"/>
              </w:rPr>
              <w:t>Business measures</w:t>
            </w:r>
          </w:p>
        </w:tc>
      </w:tr>
      <w:tr>
        <w:tc>
          <w:tcPr>
            <w:tcW w:type="dxa" w:w="1800"/>
            <w:vAlign w:val="center"/>
          </w:tcPr>
          <w:p>
            <w:pPr>
              <w:pStyle w:val="Body"/>
              <w:spacing w:after="60" w:before="40"/>
              <w:jc w:val="left"/>
            </w:pPr>
            <w:r>
              <w:rPr>
                <w:sz w:val="17"/>
              </w:rPr>
              <w:t>Work intake</w:t>
            </w:r>
          </w:p>
        </w:tc>
        <w:tc>
          <w:tcPr>
            <w:tcW w:type="dxa" w:w="3096"/>
            <w:vAlign w:val="center"/>
          </w:tcPr>
          <w:p>
            <w:pPr>
              <w:pStyle w:val="Body"/>
              <w:spacing w:after="60" w:before="40"/>
              <w:jc w:val="left"/>
            </w:pPr>
            <w:r>
              <w:rPr>
                <w:sz w:val="17"/>
              </w:rPr>
              <w:t>Requests arrive through support threads, Slack, incidents, and product notes with poor deduplication or prioritization.</w:t>
            </w:r>
          </w:p>
        </w:tc>
        <w:tc>
          <w:tcPr>
            <w:tcW w:type="dxa" w:w="2304"/>
            <w:vAlign w:val="center"/>
          </w:tcPr>
          <w:p>
            <w:pPr>
              <w:pStyle w:val="Body"/>
              <w:spacing w:after="60" w:before="40"/>
              <w:jc w:val="left"/>
            </w:pPr>
            <w:r>
              <w:rPr>
                <w:sz w:val="17"/>
              </w:rPr>
              <w:t>Signal intake and triage</w:t>
            </w:r>
          </w:p>
        </w:tc>
        <w:tc>
          <w:tcPr>
            <w:tcW w:type="dxa" w:w="2088"/>
            <w:vAlign w:val="center"/>
          </w:tcPr>
          <w:p>
            <w:pPr>
              <w:pStyle w:val="Body"/>
              <w:spacing w:after="60" w:before="40"/>
              <w:jc w:val="left"/>
            </w:pPr>
            <w:r>
              <w:rPr>
                <w:sz w:val="17"/>
              </w:rPr>
              <w:t>Backlog hygiene, time-to-owner</w:t>
            </w:r>
          </w:p>
        </w:tc>
      </w:tr>
      <w:tr>
        <w:tc>
          <w:tcPr>
            <w:tcW w:type="dxa" w:w="1800"/>
            <w:vAlign w:val="center"/>
          </w:tcPr>
          <w:p>
            <w:pPr>
              <w:pStyle w:val="Body"/>
              <w:spacing w:after="60" w:before="40"/>
              <w:jc w:val="left"/>
            </w:pPr>
            <w:r>
              <w:rPr>
                <w:sz w:val="17"/>
              </w:rPr>
              <w:t>Specification quality</w:t>
            </w:r>
          </w:p>
        </w:tc>
        <w:tc>
          <w:tcPr>
            <w:tcW w:type="dxa" w:w="3096"/>
            <w:vAlign w:val="center"/>
          </w:tcPr>
          <w:p>
            <w:pPr>
              <w:pStyle w:val="Body"/>
              <w:spacing w:after="60" w:before="40"/>
              <w:jc w:val="left"/>
            </w:pPr>
            <w:r>
              <w:rPr>
                <w:sz w:val="17"/>
              </w:rPr>
              <w:t>Teams start coding from partial requirements and missing acceptance criteria.</w:t>
            </w:r>
          </w:p>
        </w:tc>
        <w:tc>
          <w:tcPr>
            <w:tcW w:type="dxa" w:w="2304"/>
            <w:vAlign w:val="center"/>
          </w:tcPr>
          <w:p>
            <w:pPr>
              <w:pStyle w:val="Body"/>
              <w:spacing w:after="60" w:before="40"/>
              <w:jc w:val="left"/>
            </w:pPr>
            <w:r>
              <w:rPr>
                <w:sz w:val="17"/>
              </w:rPr>
              <w:t>Spec and planning</w:t>
            </w:r>
          </w:p>
        </w:tc>
        <w:tc>
          <w:tcPr>
            <w:tcW w:type="dxa" w:w="2088"/>
            <w:vAlign w:val="center"/>
          </w:tcPr>
          <w:p>
            <w:pPr>
              <w:pStyle w:val="Body"/>
              <w:spacing w:after="60" w:before="40"/>
              <w:jc w:val="left"/>
            </w:pPr>
            <w:r>
              <w:rPr>
                <w:sz w:val="17"/>
              </w:rPr>
              <w:t>Spec completeness, rework rate</w:t>
            </w:r>
          </w:p>
        </w:tc>
      </w:tr>
      <w:tr>
        <w:tc>
          <w:tcPr>
            <w:tcW w:type="dxa" w:w="1800"/>
            <w:vAlign w:val="center"/>
          </w:tcPr>
          <w:p>
            <w:pPr>
              <w:pStyle w:val="Body"/>
              <w:spacing w:after="60" w:before="40"/>
              <w:jc w:val="left"/>
            </w:pPr>
            <w:r>
              <w:rPr>
                <w:sz w:val="17"/>
              </w:rPr>
              <w:t>Implementation flow</w:t>
            </w:r>
          </w:p>
        </w:tc>
        <w:tc>
          <w:tcPr>
            <w:tcW w:type="dxa" w:w="3096"/>
            <w:vAlign w:val="center"/>
          </w:tcPr>
          <w:p>
            <w:pPr>
              <w:pStyle w:val="Body"/>
              <w:spacing w:after="60" w:before="40"/>
              <w:jc w:val="left"/>
            </w:pPr>
            <w:r>
              <w:rPr>
                <w:sz w:val="17"/>
              </w:rPr>
              <w:t>Engineering context is scattered and coding agents are invoked without guardrails.</w:t>
            </w:r>
          </w:p>
        </w:tc>
        <w:tc>
          <w:tcPr>
            <w:tcW w:type="dxa" w:w="2304"/>
            <w:vAlign w:val="center"/>
          </w:tcPr>
          <w:p>
            <w:pPr>
              <w:pStyle w:val="Body"/>
              <w:spacing w:after="60" w:before="40"/>
              <w:jc w:val="left"/>
            </w:pPr>
            <w:r>
              <w:rPr>
                <w:sz w:val="17"/>
              </w:rPr>
              <w:t>Plan -&gt; build -&gt; PR orchestration</w:t>
            </w:r>
          </w:p>
        </w:tc>
        <w:tc>
          <w:tcPr>
            <w:tcW w:type="dxa" w:w="2088"/>
            <w:vAlign w:val="center"/>
          </w:tcPr>
          <w:p>
            <w:pPr>
              <w:pStyle w:val="Body"/>
              <w:spacing w:after="60" w:before="40"/>
              <w:jc w:val="left"/>
            </w:pPr>
            <w:r>
              <w:rPr>
                <w:sz w:val="17"/>
              </w:rPr>
              <w:t>Spec-to-PR time, review churn</w:t>
            </w:r>
          </w:p>
        </w:tc>
      </w:tr>
      <w:tr>
        <w:tc>
          <w:tcPr>
            <w:tcW w:type="dxa" w:w="1800"/>
            <w:vAlign w:val="center"/>
          </w:tcPr>
          <w:p>
            <w:pPr>
              <w:pStyle w:val="Body"/>
              <w:spacing w:after="60" w:before="40"/>
              <w:jc w:val="left"/>
            </w:pPr>
            <w:r>
              <w:rPr>
                <w:sz w:val="17"/>
              </w:rPr>
              <w:t>AI quality gates</w:t>
            </w:r>
          </w:p>
        </w:tc>
        <w:tc>
          <w:tcPr>
            <w:tcW w:type="dxa" w:w="3096"/>
            <w:vAlign w:val="center"/>
          </w:tcPr>
          <w:p>
            <w:pPr>
              <w:pStyle w:val="Body"/>
              <w:spacing w:after="60" w:before="40"/>
              <w:jc w:val="left"/>
            </w:pPr>
            <w:r>
              <w:rPr>
                <w:sz w:val="17"/>
              </w:rPr>
              <w:t>Prompt/model/tool changes reach users without enough regression coverage.</w:t>
            </w:r>
          </w:p>
        </w:tc>
        <w:tc>
          <w:tcPr>
            <w:tcW w:type="dxa" w:w="2304"/>
            <w:vAlign w:val="center"/>
          </w:tcPr>
          <w:p>
            <w:pPr>
              <w:pStyle w:val="Body"/>
              <w:spacing w:after="60" w:before="40"/>
              <w:jc w:val="left"/>
            </w:pPr>
            <w:r>
              <w:rPr>
                <w:sz w:val="17"/>
              </w:rPr>
              <w:t>QA and eval gating</w:t>
            </w:r>
          </w:p>
        </w:tc>
        <w:tc>
          <w:tcPr>
            <w:tcW w:type="dxa" w:w="2088"/>
            <w:vAlign w:val="center"/>
          </w:tcPr>
          <w:p>
            <w:pPr>
              <w:pStyle w:val="Body"/>
              <w:spacing w:after="60" w:before="40"/>
              <w:jc w:val="left"/>
            </w:pPr>
            <w:r>
              <w:rPr>
                <w:sz w:val="17"/>
              </w:rPr>
              <w:t>Eval pass rate, escaped regressions</w:t>
            </w:r>
          </w:p>
        </w:tc>
      </w:tr>
      <w:tr>
        <w:tc>
          <w:tcPr>
            <w:tcW w:type="dxa" w:w="1800"/>
            <w:vAlign w:val="center"/>
          </w:tcPr>
          <w:p>
            <w:pPr>
              <w:pStyle w:val="Body"/>
              <w:spacing w:after="60" w:before="40"/>
              <w:jc w:val="left"/>
            </w:pPr>
            <w:r>
              <w:rPr>
                <w:sz w:val="17"/>
              </w:rPr>
              <w:t>Release and learning</w:t>
            </w:r>
          </w:p>
        </w:tc>
        <w:tc>
          <w:tcPr>
            <w:tcW w:type="dxa" w:w="3096"/>
            <w:vAlign w:val="center"/>
          </w:tcPr>
          <w:p>
            <w:pPr>
              <w:pStyle w:val="Body"/>
              <w:spacing w:after="60" w:before="40"/>
              <w:jc w:val="left"/>
            </w:pPr>
            <w:r>
              <w:rPr>
                <w:sz w:val="17"/>
              </w:rPr>
              <w:t>Release notes, rollout checks, and incident feedback loops are manual and inconsistent.</w:t>
            </w:r>
          </w:p>
        </w:tc>
        <w:tc>
          <w:tcPr>
            <w:tcW w:type="dxa" w:w="2304"/>
            <w:vAlign w:val="center"/>
          </w:tcPr>
          <w:p>
            <w:pPr>
              <w:pStyle w:val="Body"/>
              <w:spacing w:after="60" w:before="40"/>
              <w:jc w:val="left"/>
            </w:pPr>
            <w:r>
              <w:rPr>
                <w:sz w:val="17"/>
              </w:rPr>
              <w:t>Release + incident learning</w:t>
            </w:r>
          </w:p>
        </w:tc>
        <w:tc>
          <w:tcPr>
            <w:tcW w:type="dxa" w:w="2088"/>
            <w:vAlign w:val="center"/>
          </w:tcPr>
          <w:p>
            <w:pPr>
              <w:pStyle w:val="Body"/>
              <w:spacing w:after="60" w:before="40"/>
              <w:jc w:val="left"/>
            </w:pPr>
            <w:r>
              <w:rPr>
                <w:sz w:val="17"/>
              </w:rPr>
              <w:t>Release confidence, incident-to-RCA time</w:t>
            </w:r>
          </w:p>
        </w:tc>
      </w:tr>
    </w:tbl>
    <w:p/>
    <w:tbl>
      <w:tblPr>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10166"/>
      </w:tblGrid>
      <w:tr>
        <w:tc>
          <w:tcPr>
            <w:tcW w:type="dxa" w:w="9648"/>
            <w:shd w:fill="EAF3F8" w:val="clear" w:color="auto"/>
            <w:vAlign w:val="center"/>
          </w:tcPr>
          <w:p>
            <w:pPr>
              <w:pStyle w:val="Body"/>
              <w:spacing w:after="80"/>
            </w:pPr>
            <w:r/>
            <w:r>
              <w:rPr>
                <w:b/>
              </w:rPr>
              <w:t>Why this pack stays horizontal</w:t>
            </w:r>
          </w:p>
          <w:p>
            <w:pPr>
              <w:pStyle w:val="Body"/>
              <w:spacing w:after="80"/>
            </w:pPr>
            <w:r>
              <w:t>The pack does not assume a single repo host, issue tracker, or observability vendor. It standardizes the common operating spine of AI product delivery: intake, specification, planning, build orchestration, evaluation, release, and learning from production. Provider overlays bind those capabilities to each tenant's stack.</w:t>
            </w:r>
          </w:p>
        </w:tc>
      </w:tr>
    </w:tbl>
    <w:p/>
    <w:p>
      <w:pPr>
        <w:pStyle w:val="RuhHeading1"/>
        <w:keepNext/>
        <w:spacing w:before="320" w:after="160"/>
      </w:pPr>
      <w:r>
        <w:t>Executive snapshot</w:t>
      </w:r>
    </w:p>
    <w:p>
      <w:pPr>
        <w:pStyle w:val="Body"/>
        <w:spacing w:after="120" w:before="0" w:line="276" w:lineRule="auto"/>
      </w:pPr>
      <w:r>
        <w:t>The AI BuildOps Pack is a governed digital-workforce bundle for teams that ship AI products. It accepts incoming signals from product feedback, support, incidents, and planning conversations; turns them into structured work; helps prepare technical plans; orchestrates coding-agent work where appropriate; runs tests and AI evals; packages release artifacts; and closes the loop by converting production failures into new regression cases.</w:t>
      </w:r>
    </w:p>
    <w:p>
      <w:pPr>
        <w:pStyle w:val="Body"/>
        <w:spacing w:after="120" w:before="0" w:line="276" w:lineRule="auto"/>
      </w:pPr>
      <w:r>
        <w:t>The pack is intentionally not a replacement for GitHub, GitLab, Jira, Linear, CI/CD, or observability systems. Instead, it sits above them as an execution layer that assembles context, routes work to the right digital employee, enforces policy, and measures delivery performance.</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304"/>
            <w:vAlign w:val="center"/>
            <w:shd w:fill="DDE8F2" w:val="clear" w:color="auto"/>
          </w:tcPr>
          <w:p>
            <w:pPr>
              <w:pStyle w:val="Body"/>
              <w:jc w:val="center"/>
            </w:pPr>
            <w:r>
              <w:rPr>
                <w:b/>
                <w:sz w:val="18"/>
              </w:rPr>
              <w:t>Pack area</w:t>
            </w:r>
          </w:p>
        </w:tc>
        <w:tc>
          <w:tcPr>
            <w:tcW w:type="dxa" w:w="7200"/>
            <w:vAlign w:val="center"/>
            <w:shd w:fill="DDE8F2" w:val="clear" w:color="auto"/>
          </w:tcPr>
          <w:p>
            <w:pPr>
              <w:pStyle w:val="Body"/>
              <w:jc w:val="center"/>
            </w:pPr>
            <w:r>
              <w:rPr>
                <w:b/>
                <w:sz w:val="18"/>
              </w:rPr>
              <w:t>V1 reference definition</w:t>
            </w:r>
          </w:p>
        </w:tc>
      </w:tr>
      <w:tr>
        <w:tc>
          <w:tcPr>
            <w:tcW w:type="dxa" w:w="2304"/>
            <w:vAlign w:val="center"/>
          </w:tcPr>
          <w:p>
            <w:pPr>
              <w:pStyle w:val="Body"/>
              <w:spacing w:after="60" w:before="40"/>
              <w:jc w:val="left"/>
            </w:pPr>
            <w:r>
              <w:rPr>
                <w:sz w:val="18"/>
              </w:rPr>
              <w:t>Employees</w:t>
            </w:r>
          </w:p>
        </w:tc>
        <w:tc>
          <w:tcPr>
            <w:tcW w:type="dxa" w:w="7200"/>
            <w:vAlign w:val="center"/>
          </w:tcPr>
          <w:p>
            <w:pPr>
              <w:pStyle w:val="Body"/>
              <w:spacing w:after="60" w:before="40"/>
              <w:jc w:val="left"/>
            </w:pPr>
            <w:r>
              <w:rPr>
                <w:sz w:val="18"/>
              </w:rPr>
              <w:t>Intake &amp; triage; spec; architecture planner; builder orchestrator; QA &amp; evals; review &amp; release; incident &amp; feedback</w:t>
            </w:r>
          </w:p>
        </w:tc>
      </w:tr>
      <w:tr>
        <w:tc>
          <w:tcPr>
            <w:tcW w:type="dxa" w:w="2304"/>
            <w:vAlign w:val="center"/>
          </w:tcPr>
          <w:p>
            <w:pPr>
              <w:pStyle w:val="Body"/>
              <w:spacing w:after="60" w:before="40"/>
              <w:jc w:val="left"/>
            </w:pPr>
            <w:r>
              <w:rPr>
                <w:sz w:val="18"/>
              </w:rPr>
              <w:t>Core workflows</w:t>
            </w:r>
          </w:p>
        </w:tc>
        <w:tc>
          <w:tcPr>
            <w:tcW w:type="dxa" w:w="7200"/>
            <w:vAlign w:val="center"/>
          </w:tcPr>
          <w:p>
            <w:pPr>
              <w:pStyle w:val="Body"/>
              <w:spacing w:after="60" w:before="40"/>
              <w:jc w:val="left"/>
            </w:pPr>
            <w:r>
              <w:rPr>
                <w:sz w:val="18"/>
              </w:rPr>
              <w:t>Signal intake; spec generation; architecture plan; build orchestration; eval gating; release prep; incident learning</w:t>
            </w:r>
          </w:p>
        </w:tc>
      </w:tr>
      <w:tr>
        <w:tc>
          <w:tcPr>
            <w:tcW w:type="dxa" w:w="2304"/>
            <w:vAlign w:val="center"/>
          </w:tcPr>
          <w:p>
            <w:pPr>
              <w:pStyle w:val="Body"/>
              <w:spacing w:after="60" w:before="40"/>
              <w:jc w:val="left"/>
            </w:pPr>
            <w:r>
              <w:rPr>
                <w:sz w:val="18"/>
              </w:rPr>
              <w:t>Supported capability groups</w:t>
            </w:r>
          </w:p>
        </w:tc>
        <w:tc>
          <w:tcPr>
            <w:tcW w:type="dxa" w:w="7200"/>
            <w:vAlign w:val="center"/>
          </w:tcPr>
          <w:p>
            <w:pPr>
              <w:pStyle w:val="Body"/>
              <w:spacing w:after="60" w:before="40"/>
              <w:jc w:val="left"/>
            </w:pPr>
            <w:r>
              <w:rPr>
                <w:sz w:val="18"/>
              </w:rPr>
              <w:t>Issue tracking; repo/PR; docs; chat; CI/CD; observability; feature flags; model telemetry</w:t>
            </w:r>
          </w:p>
        </w:tc>
      </w:tr>
      <w:tr>
        <w:tc>
          <w:tcPr>
            <w:tcW w:type="dxa" w:w="2304"/>
            <w:vAlign w:val="center"/>
          </w:tcPr>
          <w:p>
            <w:pPr>
              <w:pStyle w:val="Body"/>
              <w:spacing w:after="60" w:before="40"/>
              <w:jc w:val="left"/>
            </w:pPr>
            <w:r>
              <w:rPr>
                <w:sz w:val="18"/>
              </w:rPr>
              <w:t>Non-negotiable controls</w:t>
            </w:r>
          </w:p>
        </w:tc>
        <w:tc>
          <w:tcPr>
            <w:tcW w:type="dxa" w:w="7200"/>
            <w:vAlign w:val="center"/>
          </w:tcPr>
          <w:p>
            <w:pPr>
              <w:pStyle w:val="Body"/>
              <w:spacing w:after="60" w:before="40"/>
              <w:jc w:val="left"/>
            </w:pPr>
            <w:r>
              <w:rPr>
                <w:sz w:val="18"/>
              </w:rPr>
              <w:t>No direct merge to protected branches; no production deploy without approval; AI changes require eval gates; full audit history</w:t>
            </w:r>
          </w:p>
        </w:tc>
      </w:tr>
      <w:tr>
        <w:tc>
          <w:tcPr>
            <w:tcW w:type="dxa" w:w="2304"/>
            <w:vAlign w:val="center"/>
          </w:tcPr>
          <w:p>
            <w:pPr>
              <w:pStyle w:val="Body"/>
              <w:spacing w:after="60" w:before="40"/>
              <w:jc w:val="left"/>
            </w:pPr>
            <w:r>
              <w:rPr>
                <w:sz w:val="18"/>
              </w:rPr>
              <w:t>Pilot slice</w:t>
            </w:r>
          </w:p>
        </w:tc>
        <w:tc>
          <w:tcPr>
            <w:tcW w:type="dxa" w:w="7200"/>
            <w:vAlign w:val="center"/>
          </w:tcPr>
          <w:p>
            <w:pPr>
              <w:pStyle w:val="Body"/>
              <w:spacing w:after="60" w:before="40"/>
              <w:jc w:val="left"/>
            </w:pPr>
            <w:r>
              <w:rPr>
                <w:sz w:val="18"/>
              </w:rPr>
              <w:t>Intake, spec, builder orchestration, QA/evals, and release on one product team</w:t>
            </w:r>
          </w:p>
        </w:tc>
      </w:tr>
    </w:tbl>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buildops_overview.png"/>
                    <pic:cNvPicPr/>
                  </pic:nvPicPr>
                  <pic:blipFill>
                    <a:blip r:embed="rId24"/>
                    <a:stretch>
                      <a:fillRect/>
                    </a:stretch>
                  </pic:blipFill>
                  <pic:spPr>
                    <a:xfrm>
                      <a:off x="0" y="0"/>
                      <a:ext cx="5852160" cy="3291840"/>
                    </a:xfrm>
                    <a:prstGeom prst="rect"/>
                  </pic:spPr>
                </pic:pic>
              </a:graphicData>
            </a:graphic>
          </wp:inline>
        </w:drawing>
      </w:r>
    </w:p>
    <w:p>
      <w:pPr>
        <w:pStyle w:val="Caption"/>
        <w:jc w:val="center"/>
      </w:pPr>
      <w:r>
        <w:t>Figure 1. The AI BuildOps pack organizes digital employees around the common delivery conveyor used by AI product companies.</w:t>
      </w:r>
    </w:p>
    <w:p>
      <w:pPr>
        <w:pStyle w:val="RuhHeading1"/>
        <w:keepNext/>
        <w:spacing w:before="320" w:after="160"/>
      </w:pPr>
      <w:r>
        <w:t>1. Purpose, scope, and design goals</w:t>
      </w:r>
    </w:p>
    <w:p>
      <w:pPr>
        <w:pStyle w:val="Body"/>
        <w:spacing w:after="120" w:before="0" w:line="276" w:lineRule="auto"/>
      </w:pPr>
      <w:r>
        <w:t>The purpose of this pack is to make Ruh.ai useful beyond one industry by packaging a repeatable operating model for software teams, especially companies building AI-native products. The design assumption is that modern teams already have best-of-breed tools for code, tracking, documentation, CI, and observability, but lack one execution layer that can move work across those systems consistently.</w:t>
      </w:r>
    </w:p>
    <w:p>
      <w:pPr>
        <w:pStyle w:val="Body"/>
        <w:spacing w:after="120" w:before="0" w:line="276" w:lineRule="auto"/>
      </w:pPr>
      <w:r>
        <w:t>The pack should reduce the coordination tax around software delivery without pretending that architecture judgment, code ownership, or production accountability can be fully delegated. Humans still decide what to build, what to merge, and what to ship; the digital employees remove repetitive assembly, analysis, and follow-through work around those decisions.</w:t>
      </w:r>
    </w:p>
    <w:p>
      <w:pPr>
        <w:pStyle w:val="Bullet1"/>
        <w:spacing w:after="60"/>
        <w:ind w:left="288"/>
      </w:pPr>
      <w:r>
        <w:t>Must work across common combinations of GitHub or GitLab, Jira or Linear, Slack or Teams, Notion or Confluence, and major CI/observability vendors.</w:t>
      </w:r>
    </w:p>
    <w:p>
      <w:pPr>
        <w:pStyle w:val="Bullet1"/>
        <w:spacing w:after="60"/>
        <w:ind w:left="288"/>
      </w:pPr>
      <w:r>
        <w:t>Must treat AI-specific quality gates as first-class: prompt changes, model-route changes, tool changes, and eval thresholds.</w:t>
      </w:r>
    </w:p>
    <w:p>
      <w:pPr>
        <w:pStyle w:val="Bullet1"/>
        <w:spacing w:after="60"/>
        <w:ind w:left="288"/>
      </w:pPr>
      <w:r>
        <w:t>Must keep protected-branch merges, deployment, and customer-facing incident communication behind explicit approvals.</w:t>
      </w:r>
    </w:p>
    <w:p>
      <w:pPr>
        <w:pStyle w:val="Bullet1"/>
        <w:spacing w:after="60"/>
        <w:ind w:left="288"/>
      </w:pPr>
      <w:r>
        <w:t>Must convert production failures and bad conversations into reusable regression cases.</w:t>
      </w:r>
    </w:p>
    <w:p>
      <w:pPr>
        <w:pStyle w:val="RuhHeading2"/>
        <w:keepNext/>
        <w:spacing w:before="200" w:after="120"/>
      </w:pPr>
      <w:r>
        <w:t>1.1 Out of scope for V1</w:t>
      </w:r>
    </w:p>
    <w:p>
      <w:pPr>
        <w:pStyle w:val="Bullet1"/>
        <w:spacing w:after="60"/>
        <w:ind w:left="288"/>
      </w:pPr>
      <w:r>
        <w:t>Fully autonomous production deploys, automatic merges to protected branches, or unsupervised architectural changes.</w:t>
      </w:r>
    </w:p>
    <w:p>
      <w:pPr>
        <w:pStyle w:val="Bullet1"/>
        <w:spacing w:after="60"/>
        <w:ind w:left="288"/>
      </w:pPr>
      <w:r>
        <w:t>A replacement for the issue tracker, code host, docs system, or observability vendor.</w:t>
      </w:r>
    </w:p>
    <w:p>
      <w:pPr>
        <w:pStyle w:val="Bullet1"/>
        <w:spacing w:after="60"/>
        <w:ind w:left="288"/>
      </w:pPr>
      <w:r>
        <w:t>Optimization for lines of code written; the pack is judged by delivery quality and throughput, not code volume.</w:t>
      </w:r>
    </w:p>
    <w:p>
      <w:pPr>
        <w:pStyle w:val="RuhHeading1"/>
        <w:keepNext/>
        <w:spacing w:before="320" w:after="160"/>
      </w:pPr>
      <w:r>
        <w:t>2. Target operating model and deployment assumptions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1800"/>
            <w:vAlign w:val="center"/>
            <w:shd w:fill="DDE8F2" w:val="clear" w:color="auto"/>
          </w:tcPr>
          <w:p>
            <w:pPr>
              <w:pStyle w:val="Body"/>
              <w:jc w:val="center"/>
            </w:pPr>
            <w:r>
              <w:rPr>
                <w:b/>
                <w:sz w:val="17"/>
              </w:rPr>
              <w:t>Dimension</w:t>
            </w:r>
          </w:p>
        </w:tc>
        <w:tc>
          <w:tcPr>
            <w:tcW w:type="dxa" w:w="3816"/>
            <w:vAlign w:val="center"/>
            <w:shd w:fill="DDE8F2" w:val="clear" w:color="auto"/>
          </w:tcPr>
          <w:p>
            <w:pPr>
              <w:pStyle w:val="Body"/>
              <w:jc w:val="center"/>
            </w:pPr>
            <w:r>
              <w:rPr>
                <w:b/>
                <w:sz w:val="17"/>
              </w:rPr>
              <w:t>Reference assumption</w:t>
            </w:r>
          </w:p>
        </w:tc>
        <w:tc>
          <w:tcPr>
            <w:tcW w:type="dxa" w:w="3888"/>
            <w:vAlign w:val="center"/>
            <w:shd w:fill="DDE8F2" w:val="clear" w:color="auto"/>
          </w:tcPr>
          <w:p>
            <w:pPr>
              <w:pStyle w:val="Body"/>
              <w:jc w:val="center"/>
            </w:pPr>
            <w:r>
              <w:rPr>
                <w:b/>
                <w:sz w:val="17"/>
              </w:rPr>
              <w:t>Why it matters</w:t>
            </w:r>
          </w:p>
        </w:tc>
      </w:tr>
      <w:tr>
        <w:tc>
          <w:tcPr>
            <w:tcW w:type="dxa" w:w="1800"/>
            <w:vAlign w:val="center"/>
          </w:tcPr>
          <w:p>
            <w:pPr>
              <w:pStyle w:val="Body"/>
              <w:spacing w:after="60" w:before="40"/>
              <w:jc w:val="left"/>
            </w:pPr>
            <w:r>
              <w:rPr>
                <w:sz w:val="17"/>
              </w:rPr>
              <w:t>Tenant boundary</w:t>
            </w:r>
          </w:p>
        </w:tc>
        <w:tc>
          <w:tcPr>
            <w:tcW w:type="dxa" w:w="3816"/>
            <w:vAlign w:val="center"/>
          </w:tcPr>
          <w:p>
            <w:pPr>
              <w:pStyle w:val="Body"/>
              <w:spacing w:after="60" w:before="40"/>
              <w:jc w:val="left"/>
            </w:pPr>
            <w:r>
              <w:rPr>
                <w:sz w:val="17"/>
              </w:rPr>
              <w:t>One company or one clearly isolated business unit per deployment boundary</w:t>
            </w:r>
          </w:p>
        </w:tc>
        <w:tc>
          <w:tcPr>
            <w:tcW w:type="dxa" w:w="3888"/>
            <w:vAlign w:val="center"/>
          </w:tcPr>
          <w:p>
            <w:pPr>
              <w:pStyle w:val="Body"/>
              <w:spacing w:after="60" w:before="40"/>
              <w:jc w:val="left"/>
            </w:pPr>
            <w:r>
              <w:rPr>
                <w:sz w:val="17"/>
              </w:rPr>
              <w:t>Matches the platform trust and secret model.</w:t>
            </w:r>
          </w:p>
        </w:tc>
      </w:tr>
      <w:tr>
        <w:tc>
          <w:tcPr>
            <w:tcW w:type="dxa" w:w="1800"/>
            <w:vAlign w:val="center"/>
          </w:tcPr>
          <w:p>
            <w:pPr>
              <w:pStyle w:val="Body"/>
              <w:spacing w:after="60" w:before="40"/>
              <w:jc w:val="left"/>
            </w:pPr>
            <w:r>
              <w:rPr>
                <w:sz w:val="17"/>
              </w:rPr>
              <w:t>Workspace model</w:t>
            </w:r>
          </w:p>
        </w:tc>
        <w:tc>
          <w:tcPr>
            <w:tcW w:type="dxa" w:w="3816"/>
            <w:vAlign w:val="center"/>
          </w:tcPr>
          <w:p>
            <w:pPr>
              <w:pStyle w:val="Body"/>
              <w:spacing w:after="60" w:before="40"/>
              <w:jc w:val="left"/>
            </w:pPr>
            <w:r>
              <w:rPr>
                <w:sz w:val="17"/>
              </w:rPr>
              <w:t>One workspace per product or repo cluster; optional portfolio workspace for leadership analytics</w:t>
            </w:r>
          </w:p>
        </w:tc>
        <w:tc>
          <w:tcPr>
            <w:tcW w:type="dxa" w:w="3888"/>
            <w:vAlign w:val="center"/>
          </w:tcPr>
          <w:p>
            <w:pPr>
              <w:pStyle w:val="Body"/>
              <w:spacing w:after="60" w:before="40"/>
              <w:jc w:val="left"/>
            </w:pPr>
            <w:r>
              <w:rPr>
                <w:sz w:val="17"/>
              </w:rPr>
              <w:t>Keeps context and approvals scoped to the right codebase.</w:t>
            </w:r>
          </w:p>
        </w:tc>
      </w:tr>
      <w:tr>
        <w:tc>
          <w:tcPr>
            <w:tcW w:type="dxa" w:w="1800"/>
            <w:vAlign w:val="center"/>
          </w:tcPr>
          <w:p>
            <w:pPr>
              <w:pStyle w:val="Body"/>
              <w:spacing w:after="60" w:before="40"/>
              <w:jc w:val="left"/>
            </w:pPr>
            <w:r>
              <w:rPr>
                <w:sz w:val="17"/>
              </w:rPr>
              <w:t>Primary operators</w:t>
            </w:r>
          </w:p>
        </w:tc>
        <w:tc>
          <w:tcPr>
            <w:tcW w:type="dxa" w:w="3816"/>
            <w:vAlign w:val="center"/>
          </w:tcPr>
          <w:p>
            <w:pPr>
              <w:pStyle w:val="Body"/>
              <w:spacing w:after="60" w:before="40"/>
              <w:jc w:val="left"/>
            </w:pPr>
            <w:r>
              <w:rPr>
                <w:sz w:val="17"/>
              </w:rPr>
              <w:t>Engineering manager, PM, tech lead, engineer, QA lead, SRE, support lead</w:t>
            </w:r>
          </w:p>
        </w:tc>
        <w:tc>
          <w:tcPr>
            <w:tcW w:type="dxa" w:w="3888"/>
            <w:vAlign w:val="center"/>
          </w:tcPr>
          <w:p>
            <w:pPr>
              <w:pStyle w:val="Body"/>
              <w:spacing w:after="60" w:before="40"/>
              <w:jc w:val="left"/>
            </w:pPr>
            <w:r>
              <w:rPr>
                <w:sz w:val="17"/>
              </w:rPr>
              <w:t>These roles review and benefit from the artifacts.</w:t>
            </w:r>
          </w:p>
        </w:tc>
      </w:tr>
      <w:tr>
        <w:tc>
          <w:tcPr>
            <w:tcW w:type="dxa" w:w="1800"/>
            <w:vAlign w:val="center"/>
          </w:tcPr>
          <w:p>
            <w:pPr>
              <w:pStyle w:val="Body"/>
              <w:spacing w:after="60" w:before="40"/>
              <w:jc w:val="left"/>
            </w:pPr>
            <w:r>
              <w:rPr>
                <w:sz w:val="17"/>
              </w:rPr>
              <w:t>System of record</w:t>
            </w:r>
          </w:p>
        </w:tc>
        <w:tc>
          <w:tcPr>
            <w:tcW w:type="dxa" w:w="3816"/>
            <w:vAlign w:val="center"/>
          </w:tcPr>
          <w:p>
            <w:pPr>
              <w:pStyle w:val="Body"/>
              <w:spacing w:after="60" w:before="40"/>
              <w:jc w:val="left"/>
            </w:pPr>
            <w:r>
              <w:rPr>
                <w:sz w:val="17"/>
              </w:rPr>
              <w:t>At least one issue tracker, one code host, one docs system, and one CI pipeline are already in place</w:t>
            </w:r>
          </w:p>
        </w:tc>
        <w:tc>
          <w:tcPr>
            <w:tcW w:type="dxa" w:w="3888"/>
            <w:vAlign w:val="center"/>
          </w:tcPr>
          <w:p>
            <w:pPr>
              <w:pStyle w:val="Body"/>
              <w:spacing w:after="60" w:before="40"/>
              <w:jc w:val="left"/>
            </w:pPr>
            <w:r>
              <w:rPr>
                <w:sz w:val="17"/>
              </w:rPr>
              <w:t>The pack writes back into real delivery systems.</w:t>
            </w:r>
          </w:p>
        </w:tc>
      </w:tr>
      <w:tr>
        <w:tc>
          <w:tcPr>
            <w:tcW w:type="dxa" w:w="1800"/>
            <w:vAlign w:val="center"/>
          </w:tcPr>
          <w:p>
            <w:pPr>
              <w:pStyle w:val="Body"/>
              <w:spacing w:after="60" w:before="40"/>
              <w:jc w:val="left"/>
            </w:pPr>
            <w:r>
              <w:rPr>
                <w:sz w:val="17"/>
              </w:rPr>
              <w:t>AI feature surface</w:t>
            </w:r>
          </w:p>
        </w:tc>
        <w:tc>
          <w:tcPr>
            <w:tcW w:type="dxa" w:w="3816"/>
            <w:vAlign w:val="center"/>
          </w:tcPr>
          <w:p>
            <w:pPr>
              <w:pStyle w:val="Body"/>
              <w:spacing w:after="60" w:before="40"/>
              <w:jc w:val="left"/>
            </w:pPr>
            <w:r>
              <w:rPr>
                <w:sz w:val="17"/>
              </w:rPr>
              <w:t>The team ships prompts, model routes, agent workflows, or other AI behaviors that can regress independently of code</w:t>
            </w:r>
          </w:p>
        </w:tc>
        <w:tc>
          <w:tcPr>
            <w:tcW w:type="dxa" w:w="3888"/>
            <w:vAlign w:val="center"/>
          </w:tcPr>
          <w:p>
            <w:pPr>
              <w:pStyle w:val="Body"/>
              <w:spacing w:after="60" w:before="40"/>
              <w:jc w:val="left"/>
            </w:pPr>
            <w:r>
              <w:rPr>
                <w:sz w:val="17"/>
              </w:rPr>
              <w:t>Needed to justify eval-first workflow design.</w:t>
            </w:r>
          </w:p>
        </w:tc>
      </w:tr>
      <w:tr>
        <w:tc>
          <w:tcPr>
            <w:tcW w:type="dxa" w:w="1800"/>
            <w:vAlign w:val="center"/>
          </w:tcPr>
          <w:p>
            <w:pPr>
              <w:pStyle w:val="Body"/>
              <w:spacing w:after="60" w:before="40"/>
              <w:jc w:val="left"/>
            </w:pPr>
            <w:r>
              <w:rPr>
                <w:sz w:val="17"/>
              </w:rPr>
              <w:t>Rollout mode</w:t>
            </w:r>
          </w:p>
        </w:tc>
        <w:tc>
          <w:tcPr>
            <w:tcW w:type="dxa" w:w="3816"/>
            <w:vAlign w:val="center"/>
          </w:tcPr>
          <w:p>
            <w:pPr>
              <w:pStyle w:val="Body"/>
              <w:spacing w:after="60" w:before="40"/>
              <w:jc w:val="left"/>
            </w:pPr>
            <w:r>
              <w:rPr>
                <w:sz w:val="17"/>
              </w:rPr>
              <w:t>Pilot one team and one product area before multi-team rollout</w:t>
            </w:r>
          </w:p>
        </w:tc>
        <w:tc>
          <w:tcPr>
            <w:tcW w:type="dxa" w:w="3888"/>
            <w:vAlign w:val="center"/>
          </w:tcPr>
          <w:p>
            <w:pPr>
              <w:pStyle w:val="Body"/>
              <w:spacing w:after="60" w:before="40"/>
              <w:jc w:val="left"/>
            </w:pPr>
            <w:r>
              <w:rPr>
                <w:sz w:val="17"/>
              </w:rPr>
              <w:t>Required to tune policies, stacks, and cost budgets.</w:t>
            </w:r>
          </w:p>
        </w:tc>
      </w:tr>
    </w:tbl>
    <w:p/>
    <w:tbl>
      <w:tblPr>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10166"/>
      </w:tblGrid>
      <w:tr>
        <w:tc>
          <w:tcPr>
            <w:tcW w:type="dxa" w:w="9648"/>
            <w:shd w:fill="F7EDD1" w:val="clear" w:color="auto"/>
            <w:vAlign w:val="center"/>
          </w:tcPr>
          <w:p>
            <w:pPr>
              <w:pStyle w:val="Body"/>
              <w:spacing w:after="80"/>
            </w:pPr>
            <w:r/>
            <w:r>
              <w:rPr>
                <w:b/>
              </w:rPr>
              <w:t>Supported customer archetypes</w:t>
            </w:r>
          </w:p>
          <w:p>
            <w:pPr>
              <w:pStyle w:val="Bullet1"/>
              <w:spacing w:after="40"/>
              <w:ind w:left="216"/>
            </w:pPr>
            <w:r>
              <w:t>AI-native SaaS company shipping prompt, agent, or model-driven product features.</w:t>
            </w:r>
          </w:p>
          <w:p>
            <w:pPr>
              <w:pStyle w:val="Bullet1"/>
              <w:spacing w:after="40"/>
              <w:ind w:left="216"/>
            </w:pPr>
            <w:r>
              <w:t>B2B product team with strong code tooling but weak workflow orchestration across product, engineering, QA, and ops.</w:t>
            </w:r>
          </w:p>
          <w:p>
            <w:pPr>
              <w:pStyle w:val="Bullet1"/>
              <w:spacing w:after="40"/>
              <w:ind w:left="216"/>
            </w:pPr>
            <w:r>
              <w:t>Internal platform or applied-AI team that needs a governed delivery conveyor for multiple services.</w:t>
            </w:r>
          </w:p>
        </w:tc>
      </w:tr>
    </w:tbl>
    <w:p/>
    <w:p>
      <w:pPr>
        <w:pStyle w:val="RuhHeading1"/>
        <w:keepNext/>
        <w:spacing w:before="320" w:after="160"/>
      </w:pPr>
      <w:r>
        <w:t>3. Pack identity, dependency model, and exported assets</w:t>
      </w:r>
    </w:p>
    <w:p>
      <w:pPr>
        <w:pStyle w:val="Body"/>
        <w:spacing w:after="120" w:before="0" w:line="276" w:lineRule="auto"/>
      </w:pPr>
      <w:r>
        <w:t>This is a function reference pack rather than a vendor-specific or industry-specific pack. It declares reusable workflow assets for product delivery and binds to provider adapters through overlay values.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8"/>
              </w:rPr>
              <w:t>Manifest field</w:t>
            </w:r>
          </w:p>
        </w:tc>
        <w:tc>
          <w:tcPr>
            <w:tcW w:type="dxa" w:w="6623"/>
            <w:vAlign w:val="center"/>
            <w:shd w:fill="DDE8F2" w:val="clear" w:color="auto"/>
          </w:tcPr>
          <w:p>
            <w:pPr>
              <w:pStyle w:val="Body"/>
              <w:jc w:val="center"/>
            </w:pPr>
            <w:r>
              <w:rPr>
                <w:b/>
                <w:sz w:val="18"/>
              </w:rPr>
              <w:t>Reference value</w:t>
            </w:r>
          </w:p>
        </w:tc>
      </w:tr>
      <w:tr>
        <w:tc>
          <w:tcPr>
            <w:tcW w:type="dxa" w:w="2880"/>
            <w:vAlign w:val="center"/>
          </w:tcPr>
          <w:p>
            <w:pPr>
              <w:pStyle w:val="Body"/>
              <w:spacing w:after="60" w:before="40"/>
              <w:jc w:val="left"/>
            </w:pPr>
            <w:r>
              <w:rPr>
                <w:sz w:val="18"/>
              </w:rPr>
              <w:t>id</w:t>
            </w:r>
          </w:p>
        </w:tc>
        <w:tc>
          <w:tcPr>
            <w:tcW w:type="dxa" w:w="6623"/>
            <w:vAlign w:val="center"/>
          </w:tcPr>
          <w:p>
            <w:pPr>
              <w:pStyle w:val="Body"/>
              <w:spacing w:after="60" w:before="40"/>
              <w:jc w:val="left"/>
            </w:pPr>
            <w:r>
              <w:rPr>
                <w:sz w:val="18"/>
              </w:rPr>
              <w:t>ref.ai.buildops</w:t>
            </w:r>
          </w:p>
        </w:tc>
      </w:tr>
      <w:tr>
        <w:tc>
          <w:tcPr>
            <w:tcW w:type="dxa" w:w="2880"/>
            <w:vAlign w:val="center"/>
          </w:tcPr>
          <w:p>
            <w:pPr>
              <w:pStyle w:val="Body"/>
              <w:spacing w:after="60" w:before="40"/>
              <w:jc w:val="left"/>
            </w:pPr>
            <w:r>
              <w:rPr>
                <w:sz w:val="18"/>
              </w:rPr>
              <w:t>version</w:t>
            </w:r>
          </w:p>
        </w:tc>
        <w:tc>
          <w:tcPr>
            <w:tcW w:type="dxa" w:w="6623"/>
            <w:vAlign w:val="center"/>
          </w:tcPr>
          <w:p>
            <w:pPr>
              <w:pStyle w:val="Body"/>
              <w:spacing w:after="60" w:before="40"/>
              <w:jc w:val="left"/>
            </w:pPr>
            <w:r>
              <w:rPr>
                <w:sz w:val="18"/>
              </w:rPr>
              <w:t>1.0.0</w:t>
            </w:r>
          </w:p>
        </w:tc>
      </w:tr>
      <w:tr>
        <w:tc>
          <w:tcPr>
            <w:tcW w:type="dxa" w:w="2880"/>
            <w:vAlign w:val="center"/>
          </w:tcPr>
          <w:p>
            <w:pPr>
              <w:pStyle w:val="Body"/>
              <w:spacing w:after="60" w:before="40"/>
              <w:jc w:val="left"/>
            </w:pPr>
            <w:r>
              <w:rPr>
                <w:sz w:val="18"/>
              </w:rPr>
              <w:t>packType</w:t>
            </w:r>
          </w:p>
        </w:tc>
        <w:tc>
          <w:tcPr>
            <w:tcW w:type="dxa" w:w="6623"/>
            <w:vAlign w:val="center"/>
          </w:tcPr>
          <w:p>
            <w:pPr>
              <w:pStyle w:val="Body"/>
              <w:spacing w:after="60" w:before="40"/>
              <w:jc w:val="left"/>
            </w:pPr>
            <w:r>
              <w:rPr>
                <w:sz w:val="18"/>
              </w:rPr>
              <w:t>function-reference</w:t>
            </w:r>
          </w:p>
        </w:tc>
      </w:tr>
      <w:tr>
        <w:tc>
          <w:tcPr>
            <w:tcW w:type="dxa" w:w="2880"/>
            <w:vAlign w:val="center"/>
          </w:tcPr>
          <w:p>
            <w:pPr>
              <w:pStyle w:val="Body"/>
              <w:spacing w:after="60" w:before="40"/>
              <w:jc w:val="left"/>
            </w:pPr>
            <w:r>
              <w:rPr>
                <w:sz w:val="18"/>
              </w:rPr>
              <w:t>dependsOn</w:t>
            </w:r>
          </w:p>
        </w:tc>
        <w:tc>
          <w:tcPr>
            <w:tcW w:type="dxa" w:w="6623"/>
            <w:vAlign w:val="center"/>
          </w:tcPr>
          <w:p>
            <w:pPr>
              <w:pStyle w:val="Body"/>
              <w:spacing w:after="60" w:before="40"/>
              <w:jc w:val="left"/>
            </w:pPr>
            <w:r>
              <w:rPr>
                <w:sz w:val="18"/>
              </w:rPr>
              <w:t>ruh.foundation.runtime; ruh.foundation.approvals; ruh.foundation.code; provider overlays</w:t>
            </w:r>
          </w:p>
        </w:tc>
      </w:tr>
      <w:tr>
        <w:tc>
          <w:tcPr>
            <w:tcW w:type="dxa" w:w="2880"/>
            <w:vAlign w:val="center"/>
          </w:tcPr>
          <w:p>
            <w:pPr>
              <w:pStyle w:val="Body"/>
              <w:spacing w:after="60" w:before="40"/>
              <w:jc w:val="left"/>
            </w:pPr>
            <w:r>
              <w:rPr>
                <w:sz w:val="18"/>
              </w:rPr>
              <w:t>exports.employeeTemplates</w:t>
            </w:r>
          </w:p>
        </w:tc>
        <w:tc>
          <w:tcPr>
            <w:tcW w:type="dxa" w:w="6623"/>
            <w:vAlign w:val="center"/>
          </w:tcPr>
          <w:p>
            <w:pPr>
              <w:pStyle w:val="Body"/>
              <w:spacing w:after="60" w:before="40"/>
              <w:jc w:val="left"/>
            </w:pPr>
            <w:r>
              <w:rPr>
                <w:sz w:val="18"/>
              </w:rPr>
              <w:t>7</w:t>
            </w:r>
          </w:p>
        </w:tc>
      </w:tr>
      <w:tr>
        <w:tc>
          <w:tcPr>
            <w:tcW w:type="dxa" w:w="2880"/>
            <w:vAlign w:val="center"/>
          </w:tcPr>
          <w:p>
            <w:pPr>
              <w:pStyle w:val="Body"/>
              <w:spacing w:after="60" w:before="40"/>
              <w:jc w:val="left"/>
            </w:pPr>
            <w:r>
              <w:rPr>
                <w:sz w:val="18"/>
              </w:rPr>
              <w:t>exports.workflowTemplates</w:t>
            </w:r>
          </w:p>
        </w:tc>
        <w:tc>
          <w:tcPr>
            <w:tcW w:type="dxa" w:w="6623"/>
            <w:vAlign w:val="center"/>
          </w:tcPr>
          <w:p>
            <w:pPr>
              <w:pStyle w:val="Body"/>
              <w:spacing w:after="60" w:before="40"/>
              <w:jc w:val="left"/>
            </w:pPr>
            <w:r>
              <w:rPr>
                <w:sz w:val="18"/>
              </w:rPr>
              <w:t>7</w:t>
            </w:r>
          </w:p>
        </w:tc>
      </w:tr>
      <w:tr>
        <w:tc>
          <w:tcPr>
            <w:tcW w:type="dxa" w:w="2880"/>
            <w:vAlign w:val="center"/>
          </w:tcPr>
          <w:p>
            <w:pPr>
              <w:pStyle w:val="Body"/>
              <w:spacing w:after="60" w:before="40"/>
              <w:jc w:val="left"/>
            </w:pPr>
            <w:r>
              <w:rPr>
                <w:sz w:val="18"/>
              </w:rPr>
              <w:t>defaultPolicyProfile</w:t>
            </w:r>
          </w:p>
        </w:tc>
        <w:tc>
          <w:tcPr>
            <w:tcW w:type="dxa" w:w="6623"/>
            <w:vAlign w:val="center"/>
          </w:tcPr>
          <w:p>
            <w:pPr>
              <w:pStyle w:val="Body"/>
              <w:spacing w:after="60" w:before="40"/>
              <w:jc w:val="left"/>
            </w:pPr>
            <w:r>
              <w:rPr>
                <w:sz w:val="18"/>
              </w:rPr>
              <w:t>ai-buildops-default</w:t>
            </w:r>
          </w:p>
        </w:tc>
      </w:tr>
      <w:tr>
        <w:tc>
          <w:tcPr>
            <w:tcW w:type="dxa" w:w="2880"/>
            <w:vAlign w:val="center"/>
          </w:tcPr>
          <w:p>
            <w:pPr>
              <w:pStyle w:val="Body"/>
              <w:spacing w:after="60" w:before="40"/>
              <w:jc w:val="left"/>
            </w:pPr>
            <w:r>
              <w:rPr>
                <w:sz w:val="18"/>
              </w:rPr>
              <w:t>defaultEvalSuite</w:t>
            </w:r>
          </w:p>
        </w:tc>
        <w:tc>
          <w:tcPr>
            <w:tcW w:type="dxa" w:w="6623"/>
            <w:vAlign w:val="center"/>
          </w:tcPr>
          <w:p>
            <w:pPr>
              <w:pStyle w:val="Body"/>
              <w:spacing w:after="60" w:before="40"/>
              <w:jc w:val="left"/>
            </w:pPr>
            <w:r>
              <w:rPr>
                <w:sz w:val="18"/>
              </w:rPr>
              <w:t>ai-buildops-core</w:t>
            </w:r>
          </w:p>
        </w:tc>
      </w:tr>
    </w:tbl>
    <w:p/>
    <w:p>
      <w:pPr>
        <w:pStyle w:val="RuhHeading2"/>
        <w:keepNext/>
        <w:spacing w:before="200" w:after="120"/>
      </w:pPr>
      <w:r>
        <w:t>3.1 Suggested source tree</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ai.buildops/</w:t>
            </w:r>
          </w:p>
          <w:p>
            <w:pPr>
              <w:pStyle w:val="Body"/>
              <w:spacing w:after="0" w:before="0"/>
            </w:pPr>
            <w:r>
              <w:rPr>
                <w:rFonts w:ascii="Courier New" w:hAnsi="Courier New"/>
                <w:sz w:val="17"/>
              </w:rPr>
              <w:t xml:space="preserve">  pack.yaml</w:t>
            </w:r>
          </w:p>
          <w:p>
            <w:pPr>
              <w:pStyle w:val="Body"/>
              <w:spacing w:after="0" w:before="0"/>
            </w:pPr>
            <w:r>
              <w:rPr>
                <w:rFonts w:ascii="Courier New" w:hAnsi="Courier New"/>
                <w:sz w:val="17"/>
              </w:rPr>
              <w:t xml:space="preserve">  README.md</w:t>
            </w:r>
          </w:p>
          <w:p>
            <w:pPr>
              <w:pStyle w:val="Body"/>
              <w:spacing w:after="0" w:before="0"/>
            </w:pPr>
            <w:r>
              <w:rPr>
                <w:rFonts w:ascii="Courier New" w:hAnsi="Courier New"/>
                <w:sz w:val="17"/>
              </w:rPr>
              <w:t xml:space="preserve">  employees/</w:t>
            </w:r>
          </w:p>
          <w:p>
            <w:pPr>
              <w:pStyle w:val="Body"/>
              <w:spacing w:after="0" w:before="0"/>
            </w:pPr>
            <w:r>
              <w:rPr>
                <w:rFonts w:ascii="Courier New" w:hAnsi="Courier New"/>
                <w:sz w:val="17"/>
              </w:rPr>
              <w:t xml:space="preserve">    intake-triage.yaml</w:t>
            </w:r>
          </w:p>
          <w:p>
            <w:pPr>
              <w:pStyle w:val="Body"/>
              <w:spacing w:after="0" w:before="0"/>
            </w:pPr>
            <w:r>
              <w:rPr>
                <w:rFonts w:ascii="Courier New" w:hAnsi="Courier New"/>
                <w:sz w:val="17"/>
              </w:rPr>
              <w:t xml:space="preserve">    spec-employee.yaml</w:t>
            </w:r>
          </w:p>
          <w:p>
            <w:pPr>
              <w:pStyle w:val="Body"/>
              <w:spacing w:after="0" w:before="0"/>
            </w:pPr>
            <w:r>
              <w:rPr>
                <w:rFonts w:ascii="Courier New" w:hAnsi="Courier New"/>
                <w:sz w:val="17"/>
              </w:rPr>
              <w:t xml:space="preserve">    architecture-planner.yaml</w:t>
            </w:r>
          </w:p>
          <w:p>
            <w:pPr>
              <w:pStyle w:val="Body"/>
              <w:spacing w:after="0" w:before="0"/>
            </w:pPr>
            <w:r>
              <w:rPr>
                <w:rFonts w:ascii="Courier New" w:hAnsi="Courier New"/>
                <w:sz w:val="17"/>
              </w:rPr>
              <w:t xml:space="preserve">    builder-orchestrator.yaml</w:t>
            </w:r>
          </w:p>
          <w:p>
            <w:pPr>
              <w:pStyle w:val="Body"/>
              <w:spacing w:after="0" w:before="0"/>
            </w:pPr>
            <w:r>
              <w:rPr>
                <w:rFonts w:ascii="Courier New" w:hAnsi="Courier New"/>
                <w:sz w:val="17"/>
              </w:rPr>
              <w:t xml:space="preserve">    qa-evals.yaml</w:t>
            </w:r>
          </w:p>
          <w:p>
            <w:pPr>
              <w:pStyle w:val="Body"/>
              <w:spacing w:after="0" w:before="0"/>
            </w:pPr>
            <w:r>
              <w:rPr>
                <w:rFonts w:ascii="Courier New" w:hAnsi="Courier New"/>
                <w:sz w:val="17"/>
              </w:rPr>
              <w:t xml:space="preserve">    review-release.yaml</w:t>
            </w:r>
          </w:p>
          <w:p>
            <w:pPr>
              <w:pStyle w:val="Body"/>
              <w:spacing w:after="0" w:before="0"/>
            </w:pPr>
            <w:r>
              <w:rPr>
                <w:rFonts w:ascii="Courier New" w:hAnsi="Courier New"/>
                <w:sz w:val="17"/>
              </w:rPr>
              <w:t xml:space="preserve">    incident-feedback.yaml</w:t>
            </w:r>
          </w:p>
          <w:p>
            <w:pPr>
              <w:pStyle w:val="Body"/>
              <w:spacing w:after="0" w:before="0"/>
            </w:pPr>
            <w:r>
              <w:rPr>
                <w:rFonts w:ascii="Courier New" w:hAnsi="Courier New"/>
                <w:sz w:val="17"/>
              </w:rPr>
              <w:t xml:space="preserve">  workflows/</w:t>
            </w:r>
          </w:p>
          <w:p>
            <w:pPr>
              <w:pStyle w:val="Body"/>
              <w:spacing w:after="0" w:before="0"/>
            </w:pPr>
            <w:r>
              <w:rPr>
                <w:rFonts w:ascii="Courier New" w:hAnsi="Courier New"/>
                <w:sz w:val="17"/>
              </w:rPr>
              <w:t xml:space="preserve">    signal-intake.yaml</w:t>
            </w:r>
          </w:p>
          <w:p>
            <w:pPr>
              <w:pStyle w:val="Body"/>
              <w:spacing w:after="0" w:before="0"/>
            </w:pPr>
            <w:r>
              <w:rPr>
                <w:rFonts w:ascii="Courier New" w:hAnsi="Courier New"/>
                <w:sz w:val="17"/>
              </w:rPr>
              <w:t xml:space="preserve">    spec-generation.yaml</w:t>
            </w:r>
          </w:p>
          <w:p>
            <w:pPr>
              <w:pStyle w:val="Body"/>
              <w:spacing w:after="0" w:before="0"/>
            </w:pPr>
            <w:r>
              <w:rPr>
                <w:rFonts w:ascii="Courier New" w:hAnsi="Courier New"/>
                <w:sz w:val="17"/>
              </w:rPr>
              <w:t xml:space="preserve">    architecture-plan.yaml</w:t>
            </w:r>
          </w:p>
          <w:p>
            <w:pPr>
              <w:pStyle w:val="Body"/>
              <w:spacing w:after="0" w:before="0"/>
            </w:pPr>
            <w:r>
              <w:rPr>
                <w:rFonts w:ascii="Courier New" w:hAnsi="Courier New"/>
                <w:sz w:val="17"/>
              </w:rPr>
              <w:t xml:space="preserve">    build-orchestration.yaml</w:t>
            </w:r>
          </w:p>
          <w:p>
            <w:pPr>
              <w:pStyle w:val="Body"/>
              <w:spacing w:after="0" w:before="0"/>
            </w:pPr>
            <w:r>
              <w:rPr>
                <w:rFonts w:ascii="Courier New" w:hAnsi="Courier New"/>
                <w:sz w:val="17"/>
              </w:rPr>
              <w:t xml:space="preserve">    eval-gating.yaml</w:t>
            </w:r>
          </w:p>
          <w:p>
            <w:pPr>
              <w:pStyle w:val="Body"/>
              <w:spacing w:after="0" w:before="0"/>
            </w:pPr>
            <w:r>
              <w:rPr>
                <w:rFonts w:ascii="Courier New" w:hAnsi="Courier New"/>
                <w:sz w:val="17"/>
              </w:rPr>
              <w:t xml:space="preserve">    release-prep.yaml</w:t>
            </w:r>
          </w:p>
          <w:p>
            <w:pPr>
              <w:pStyle w:val="Body"/>
              <w:spacing w:after="0" w:before="0"/>
            </w:pPr>
            <w:r>
              <w:rPr>
                <w:rFonts w:ascii="Courier New" w:hAnsi="Courier New"/>
                <w:sz w:val="17"/>
              </w:rPr>
              <w:t xml:space="preserve">    incident-learning.yaml</w:t>
            </w:r>
          </w:p>
          <w:p>
            <w:pPr>
              <w:pStyle w:val="Body"/>
              <w:spacing w:after="0" w:before="0"/>
            </w:pPr>
            <w:r>
              <w:rPr>
                <w:rFonts w:ascii="Courier New" w:hAnsi="Courier New"/>
                <w:sz w:val="17"/>
              </w:rPr>
              <w:t xml:space="preserve">  artifacts/</w:t>
            </w:r>
          </w:p>
          <w:p>
            <w:pPr>
              <w:pStyle w:val="Body"/>
              <w:spacing w:after="0" w:before="0"/>
            </w:pPr>
            <w:r>
              <w:rPr>
                <w:rFonts w:ascii="Courier New" w:hAnsi="Courier New"/>
                <w:sz w:val="17"/>
              </w:rPr>
              <w:t xml:space="preserve">    work-item-brief.schema.json</w:t>
            </w:r>
          </w:p>
          <w:p>
            <w:pPr>
              <w:pStyle w:val="Body"/>
              <w:spacing w:after="0" w:before="0"/>
            </w:pPr>
            <w:r>
              <w:rPr>
                <w:rFonts w:ascii="Courier New" w:hAnsi="Courier New"/>
                <w:sz w:val="17"/>
              </w:rPr>
              <w:t xml:space="preserve">    spec-package.schema.json</w:t>
            </w:r>
          </w:p>
          <w:p>
            <w:pPr>
              <w:pStyle w:val="Body"/>
              <w:spacing w:after="0" w:before="0"/>
            </w:pPr>
            <w:r>
              <w:rPr>
                <w:rFonts w:ascii="Courier New" w:hAnsi="Courier New"/>
                <w:sz w:val="17"/>
              </w:rPr>
              <w:t xml:space="preserve">    technical-plan.schema.json</w:t>
            </w:r>
          </w:p>
          <w:p>
            <w:pPr>
              <w:pStyle w:val="Body"/>
              <w:spacing w:after="0" w:before="0"/>
            </w:pPr>
            <w:r>
              <w:rPr>
                <w:rFonts w:ascii="Courier New" w:hAnsi="Courier New"/>
                <w:sz w:val="17"/>
              </w:rPr>
              <w:t xml:space="preserve">    eval-run-summary.schema.json</w:t>
            </w:r>
          </w:p>
          <w:p>
            <w:pPr>
              <w:pStyle w:val="Body"/>
              <w:spacing w:after="0" w:before="0"/>
            </w:pPr>
            <w:r>
              <w:rPr>
                <w:rFonts w:ascii="Courier New" w:hAnsi="Courier New"/>
                <w:sz w:val="17"/>
              </w:rPr>
              <w:t xml:space="preserve">    release-brief.schema.json</w:t>
            </w:r>
          </w:p>
          <w:p>
            <w:pPr>
              <w:pStyle w:val="Body"/>
              <w:spacing w:after="0" w:before="0"/>
            </w:pPr>
            <w:r>
              <w:rPr>
                <w:rFonts w:ascii="Courier New" w:hAnsi="Courier New"/>
                <w:sz w:val="17"/>
              </w:rPr>
              <w:t xml:space="preserve">    incident-rca.schema.json</w:t>
            </w:r>
          </w:p>
          <w:p>
            <w:pPr>
              <w:pStyle w:val="Body"/>
              <w:spacing w:after="0" w:before="0"/>
            </w:pPr>
            <w:r>
              <w:rPr>
                <w:rFonts w:ascii="Courier New" w:hAnsi="Courier New"/>
                <w:sz w:val="17"/>
              </w:rPr>
              <w:t xml:space="preserve">  skills/</w:t>
            </w:r>
          </w:p>
          <w:p>
            <w:pPr>
              <w:pStyle w:val="Body"/>
              <w:spacing w:after="0" w:before="0"/>
            </w:pPr>
            <w:r>
              <w:rPr>
                <w:rFonts w:ascii="Courier New" w:hAnsi="Courier New"/>
                <w:sz w:val="17"/>
              </w:rPr>
              <w:t xml:space="preserve">    repo-context/</w:t>
            </w:r>
          </w:p>
          <w:p>
            <w:pPr>
              <w:pStyle w:val="Body"/>
              <w:spacing w:after="0" w:before="0"/>
            </w:pPr>
            <w:r>
              <w:rPr>
                <w:rFonts w:ascii="Courier New" w:hAnsi="Courier New"/>
                <w:sz w:val="17"/>
              </w:rPr>
              <w:t xml:space="preserve">    coding-agent-control/</w:t>
            </w:r>
          </w:p>
          <w:p>
            <w:pPr>
              <w:pStyle w:val="Body"/>
              <w:spacing w:after="0" w:before="0"/>
            </w:pPr>
            <w:r>
              <w:rPr>
                <w:rFonts w:ascii="Courier New" w:hAnsi="Courier New"/>
                <w:sz w:val="17"/>
              </w:rPr>
              <w:t xml:space="preserve">    eval-ops/</w:t>
            </w:r>
          </w:p>
          <w:p>
            <w:pPr>
              <w:pStyle w:val="Body"/>
              <w:spacing w:after="0" w:before="0"/>
            </w:pPr>
            <w:r>
              <w:rPr>
                <w:rFonts w:ascii="Courier New" w:hAnsi="Courier New"/>
                <w:sz w:val="17"/>
              </w:rPr>
              <w:t xml:space="preserve">    release-prep/</w:t>
            </w:r>
          </w:p>
          <w:p>
            <w:pPr>
              <w:pStyle w:val="Body"/>
              <w:spacing w:after="0" w:before="0"/>
            </w:pPr>
            <w:r>
              <w:rPr>
                <w:rFonts w:ascii="Courier New" w:hAnsi="Courier New"/>
                <w:sz w:val="17"/>
              </w:rPr>
              <w:t xml:space="preserve">    incident-correlation/</w:t>
            </w:r>
          </w:p>
          <w:p>
            <w:pPr>
              <w:pStyle w:val="Body"/>
              <w:spacing w:after="0" w:before="0"/>
            </w:pPr>
            <w:r>
              <w:rPr>
                <w:rFonts w:ascii="Courier New" w:hAnsi="Courier New"/>
                <w:sz w:val="17"/>
              </w:rPr>
              <w:t xml:space="preserve">  evals/</w:t>
            </w:r>
          </w:p>
          <w:p>
            <w:pPr>
              <w:pStyle w:val="Body"/>
              <w:spacing w:after="0" w:before="0"/>
            </w:pPr>
            <w:r>
              <w:rPr>
                <w:rFonts w:ascii="Courier New" w:hAnsi="Courier New"/>
                <w:sz w:val="17"/>
              </w:rPr>
              <w:t xml:space="preserve">    triage/</w:t>
            </w:r>
          </w:p>
          <w:p>
            <w:pPr>
              <w:pStyle w:val="Body"/>
              <w:spacing w:after="0" w:before="0"/>
            </w:pPr>
            <w:r>
              <w:rPr>
                <w:rFonts w:ascii="Courier New" w:hAnsi="Courier New"/>
                <w:sz w:val="17"/>
              </w:rPr>
              <w:t xml:space="preserve">    spec-quality/</w:t>
            </w:r>
          </w:p>
          <w:p>
            <w:pPr>
              <w:pStyle w:val="Body"/>
              <w:spacing w:after="0" w:before="0"/>
            </w:pPr>
            <w:r>
              <w:rPr>
                <w:rFonts w:ascii="Courier New" w:hAnsi="Courier New"/>
                <w:sz w:val="17"/>
              </w:rPr>
              <w:t xml:space="preserve">    planner/</w:t>
            </w:r>
          </w:p>
          <w:p>
            <w:pPr>
              <w:pStyle w:val="Body"/>
              <w:spacing w:after="0" w:before="0"/>
            </w:pPr>
            <w:r>
              <w:rPr>
                <w:rFonts w:ascii="Courier New" w:hAnsi="Courier New"/>
                <w:sz w:val="17"/>
              </w:rPr>
              <w:t xml:space="preserve">    policy/</w:t>
            </w:r>
          </w:p>
          <w:p>
            <w:pPr>
              <w:pStyle w:val="Body"/>
              <w:spacing w:after="0" w:before="0"/>
            </w:pPr>
            <w:r>
              <w:rPr>
                <w:rFonts w:ascii="Courier New" w:hAnsi="Courier New"/>
                <w:sz w:val="17"/>
              </w:rPr>
              <w:t xml:space="preserve">    ai-regression/</w:t>
            </w:r>
          </w:p>
          <w:p>
            <w:pPr>
              <w:pStyle w:val="Body"/>
              <w:spacing w:after="0" w:before="0"/>
            </w:pPr>
            <w:r>
              <w:rPr>
                <w:rFonts w:ascii="Courier New" w:hAnsi="Courier New"/>
                <w:sz w:val="17"/>
              </w:rPr>
              <w:t xml:space="preserve">  overlays/</w:t>
            </w:r>
          </w:p>
          <w:p>
            <w:pPr>
              <w:pStyle w:val="Body"/>
              <w:spacing w:after="0" w:before="0"/>
            </w:pPr>
            <w:r>
              <w:rPr>
                <w:rFonts w:ascii="Courier New" w:hAnsi="Courier New"/>
                <w:sz w:val="17"/>
              </w:rPr>
              <w:t xml:space="preserve">    github-linear.overlay.yaml</w:t>
            </w:r>
          </w:p>
          <w:p>
            <w:pPr>
              <w:pStyle w:val="Body"/>
              <w:spacing w:after="0" w:before="0"/>
            </w:pPr>
            <w:r>
              <w:rPr>
                <w:rFonts w:ascii="Courier New" w:hAnsi="Courier New"/>
                <w:sz w:val="17"/>
              </w:rPr>
              <w:t xml:space="preserve">    github-jira.overlay.yaml</w:t>
            </w:r>
          </w:p>
          <w:p>
            <w:pPr>
              <w:pStyle w:val="Body"/>
              <w:spacing w:after="0" w:before="0"/>
            </w:pPr>
            <w:r>
              <w:rPr>
                <w:rFonts w:ascii="Courier New" w:hAnsi="Courier New"/>
                <w:sz w:val="17"/>
              </w:rPr>
              <w:t xml:space="preserve">    gitlab-jira.overlay.yaml</w:t>
            </w:r>
          </w:p>
        </w:tc>
      </w:tr>
    </w:tbl>
    <w:p/>
    <w:p>
      <w:pPr>
        <w:pStyle w:val="RuhHeading1"/>
        <w:keepNext/>
        <w:spacing w:before="320" w:after="160"/>
      </w:pPr>
      <w:r>
        <w:t>4. Canonical objects and delivery vocabulary</w:t>
      </w:r>
    </w:p>
    <w:p>
      <w:pPr>
        <w:pStyle w:val="Body"/>
        <w:spacing w:after="120" w:before="0" w:line="276" w:lineRule="auto"/>
      </w:pPr>
      <w:r>
        <w:t>To stay horizontal, the pack normalizes the objects that matter across software delivery and AI feature iteration. Provider-specific IDs remain available in adapters, but workflow logic should use canonical objects.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2232"/>
            <w:vAlign w:val="center"/>
            <w:shd w:fill="DDE8F2" w:val="clear" w:color="auto"/>
          </w:tcPr>
          <w:p>
            <w:pPr>
              <w:pStyle w:val="Body"/>
              <w:jc w:val="center"/>
            </w:pPr>
            <w:r>
              <w:rPr>
                <w:b/>
                <w:sz w:val="17"/>
              </w:rPr>
              <w:t>Canonical object</w:t>
            </w:r>
          </w:p>
        </w:tc>
        <w:tc>
          <w:tcPr>
            <w:tcW w:type="dxa" w:w="4536"/>
            <w:vAlign w:val="center"/>
            <w:shd w:fill="DDE8F2" w:val="clear" w:color="auto"/>
          </w:tcPr>
          <w:p>
            <w:pPr>
              <w:pStyle w:val="Body"/>
              <w:jc w:val="center"/>
            </w:pPr>
            <w:r>
              <w:rPr>
                <w:b/>
                <w:sz w:val="17"/>
              </w:rPr>
              <w:t>Description</w:t>
            </w:r>
          </w:p>
        </w:tc>
        <w:tc>
          <w:tcPr>
            <w:tcW w:type="dxa" w:w="2736"/>
            <w:vAlign w:val="center"/>
            <w:shd w:fill="DDE8F2" w:val="clear" w:color="auto"/>
          </w:tcPr>
          <w:p>
            <w:pPr>
              <w:pStyle w:val="Body"/>
              <w:jc w:val="center"/>
            </w:pPr>
            <w:r>
              <w:rPr>
                <w:b/>
                <w:sz w:val="17"/>
              </w:rPr>
              <w:t>Representative source systems</w:t>
            </w:r>
          </w:p>
        </w:tc>
      </w:tr>
      <w:tr>
        <w:tc>
          <w:tcPr>
            <w:tcW w:type="dxa" w:w="2232"/>
            <w:vAlign w:val="center"/>
          </w:tcPr>
          <w:p>
            <w:pPr>
              <w:pStyle w:val="Body"/>
              <w:spacing w:after="60" w:before="40"/>
              <w:jc w:val="left"/>
            </w:pPr>
            <w:r>
              <w:rPr>
                <w:sz w:val="17"/>
              </w:rPr>
              <w:t>Signal</w:t>
            </w:r>
          </w:p>
        </w:tc>
        <w:tc>
          <w:tcPr>
            <w:tcW w:type="dxa" w:w="4536"/>
            <w:vAlign w:val="center"/>
          </w:tcPr>
          <w:p>
            <w:pPr>
              <w:pStyle w:val="Body"/>
              <w:spacing w:after="60" w:before="40"/>
              <w:jc w:val="left"/>
            </w:pPr>
            <w:r>
              <w:rPr>
                <w:sz w:val="17"/>
              </w:rPr>
              <w:t>Any raw inbound item such as support feedback, Slack thread, bug alert, or incident page.</w:t>
            </w:r>
          </w:p>
        </w:tc>
        <w:tc>
          <w:tcPr>
            <w:tcW w:type="dxa" w:w="2736"/>
            <w:vAlign w:val="center"/>
          </w:tcPr>
          <w:p>
            <w:pPr>
              <w:pStyle w:val="Body"/>
              <w:spacing w:after="60" w:before="40"/>
              <w:jc w:val="left"/>
            </w:pPr>
            <w:r>
              <w:rPr>
                <w:sz w:val="17"/>
              </w:rPr>
              <w:t>Slack, email, support, observability</w:t>
            </w:r>
          </w:p>
        </w:tc>
      </w:tr>
      <w:tr>
        <w:tc>
          <w:tcPr>
            <w:tcW w:type="dxa" w:w="2232"/>
            <w:vAlign w:val="center"/>
          </w:tcPr>
          <w:p>
            <w:pPr>
              <w:pStyle w:val="Body"/>
              <w:spacing w:after="60" w:before="40"/>
              <w:jc w:val="left"/>
            </w:pPr>
            <w:r>
              <w:rPr>
                <w:sz w:val="17"/>
              </w:rPr>
              <w:t>Work item</w:t>
            </w:r>
          </w:p>
        </w:tc>
        <w:tc>
          <w:tcPr>
            <w:tcW w:type="dxa" w:w="4536"/>
            <w:vAlign w:val="center"/>
          </w:tcPr>
          <w:p>
            <w:pPr>
              <w:pStyle w:val="Body"/>
              <w:spacing w:after="60" w:before="40"/>
              <w:jc w:val="left"/>
            </w:pPr>
            <w:r>
              <w:rPr>
                <w:sz w:val="17"/>
              </w:rPr>
              <w:t>Normalized unit of work with owner, priority, linked evidence, and desired outcome.</w:t>
            </w:r>
          </w:p>
        </w:tc>
        <w:tc>
          <w:tcPr>
            <w:tcW w:type="dxa" w:w="2736"/>
            <w:vAlign w:val="center"/>
          </w:tcPr>
          <w:p>
            <w:pPr>
              <w:pStyle w:val="Body"/>
              <w:spacing w:after="60" w:before="40"/>
              <w:jc w:val="left"/>
            </w:pPr>
            <w:r>
              <w:rPr>
                <w:sz w:val="17"/>
              </w:rPr>
              <w:t>Jira, Linear, internal graph</w:t>
            </w:r>
          </w:p>
        </w:tc>
      </w:tr>
      <w:tr>
        <w:tc>
          <w:tcPr>
            <w:tcW w:type="dxa" w:w="2232"/>
            <w:vAlign w:val="center"/>
          </w:tcPr>
          <w:p>
            <w:pPr>
              <w:pStyle w:val="Body"/>
              <w:spacing w:after="60" w:before="40"/>
              <w:jc w:val="left"/>
            </w:pPr>
            <w:r>
              <w:rPr>
                <w:sz w:val="17"/>
              </w:rPr>
              <w:t>Spec package</w:t>
            </w:r>
          </w:p>
        </w:tc>
        <w:tc>
          <w:tcPr>
            <w:tcW w:type="dxa" w:w="4536"/>
            <w:vAlign w:val="center"/>
          </w:tcPr>
          <w:p>
            <w:pPr>
              <w:pStyle w:val="Body"/>
              <w:spacing w:after="60" w:before="40"/>
              <w:jc w:val="left"/>
            </w:pPr>
            <w:r>
              <w:rPr>
                <w:sz w:val="17"/>
              </w:rPr>
              <w:t>Problem statement, user story, acceptance criteria, rollout notes, and risks.</w:t>
            </w:r>
          </w:p>
        </w:tc>
        <w:tc>
          <w:tcPr>
            <w:tcW w:type="dxa" w:w="2736"/>
            <w:vAlign w:val="center"/>
          </w:tcPr>
          <w:p>
            <w:pPr>
              <w:pStyle w:val="Body"/>
              <w:spacing w:after="60" w:before="40"/>
              <w:jc w:val="left"/>
            </w:pPr>
            <w:r>
              <w:rPr>
                <w:sz w:val="17"/>
              </w:rPr>
              <w:t>Docs, issue tracker</w:t>
            </w:r>
          </w:p>
        </w:tc>
      </w:tr>
      <w:tr>
        <w:tc>
          <w:tcPr>
            <w:tcW w:type="dxa" w:w="2232"/>
            <w:vAlign w:val="center"/>
          </w:tcPr>
          <w:p>
            <w:pPr>
              <w:pStyle w:val="Body"/>
              <w:spacing w:after="60" w:before="40"/>
              <w:jc w:val="left"/>
            </w:pPr>
            <w:r>
              <w:rPr>
                <w:sz w:val="17"/>
              </w:rPr>
              <w:t>Technical plan</w:t>
            </w:r>
          </w:p>
        </w:tc>
        <w:tc>
          <w:tcPr>
            <w:tcW w:type="dxa" w:w="4536"/>
            <w:vAlign w:val="center"/>
          </w:tcPr>
          <w:p>
            <w:pPr>
              <w:pStyle w:val="Body"/>
              <w:spacing w:after="60" w:before="40"/>
              <w:jc w:val="left"/>
            </w:pPr>
            <w:r>
              <w:rPr>
                <w:sz w:val="17"/>
              </w:rPr>
              <w:t>Proposed implementation path including touched systems, files, migrations, and tests.</w:t>
            </w:r>
          </w:p>
        </w:tc>
        <w:tc>
          <w:tcPr>
            <w:tcW w:type="dxa" w:w="2736"/>
            <w:vAlign w:val="center"/>
          </w:tcPr>
          <w:p>
            <w:pPr>
              <w:pStyle w:val="Body"/>
              <w:spacing w:after="60" w:before="40"/>
              <w:jc w:val="left"/>
            </w:pPr>
            <w:r>
              <w:rPr>
                <w:sz w:val="17"/>
              </w:rPr>
              <w:t>Docs, PR planning</w:t>
            </w:r>
          </w:p>
        </w:tc>
      </w:tr>
      <w:tr>
        <w:tc>
          <w:tcPr>
            <w:tcW w:type="dxa" w:w="2232"/>
            <w:vAlign w:val="center"/>
          </w:tcPr>
          <w:p>
            <w:pPr>
              <w:pStyle w:val="Body"/>
              <w:spacing w:after="60" w:before="40"/>
              <w:jc w:val="left"/>
            </w:pPr>
            <w:r>
              <w:rPr>
                <w:sz w:val="17"/>
              </w:rPr>
              <w:t>Code change</w:t>
            </w:r>
          </w:p>
        </w:tc>
        <w:tc>
          <w:tcPr>
            <w:tcW w:type="dxa" w:w="4536"/>
            <w:vAlign w:val="center"/>
          </w:tcPr>
          <w:p>
            <w:pPr>
              <w:pStyle w:val="Body"/>
              <w:spacing w:after="60" w:before="40"/>
              <w:jc w:val="left"/>
            </w:pPr>
            <w:r>
              <w:rPr>
                <w:sz w:val="17"/>
              </w:rPr>
              <w:t>Branch, commits, pull request, and linked CI runs.</w:t>
            </w:r>
          </w:p>
        </w:tc>
        <w:tc>
          <w:tcPr>
            <w:tcW w:type="dxa" w:w="2736"/>
            <w:vAlign w:val="center"/>
          </w:tcPr>
          <w:p>
            <w:pPr>
              <w:pStyle w:val="Body"/>
              <w:spacing w:after="60" w:before="40"/>
              <w:jc w:val="left"/>
            </w:pPr>
            <w:r>
              <w:rPr>
                <w:sz w:val="17"/>
              </w:rPr>
              <w:t>GitHub, GitLab</w:t>
            </w:r>
          </w:p>
        </w:tc>
      </w:tr>
      <w:tr>
        <w:tc>
          <w:tcPr>
            <w:tcW w:type="dxa" w:w="2232"/>
            <w:vAlign w:val="center"/>
          </w:tcPr>
          <w:p>
            <w:pPr>
              <w:pStyle w:val="Body"/>
              <w:spacing w:after="60" w:before="40"/>
              <w:jc w:val="left"/>
            </w:pPr>
            <w:r>
              <w:rPr>
                <w:sz w:val="17"/>
              </w:rPr>
              <w:t>Eval suite</w:t>
            </w:r>
          </w:p>
        </w:tc>
        <w:tc>
          <w:tcPr>
            <w:tcW w:type="dxa" w:w="4536"/>
            <w:vAlign w:val="center"/>
          </w:tcPr>
          <w:p>
            <w:pPr>
              <w:pStyle w:val="Body"/>
              <w:spacing w:after="60" w:before="40"/>
              <w:jc w:val="left"/>
            </w:pPr>
            <w:r>
              <w:rPr>
                <w:sz w:val="17"/>
              </w:rPr>
              <w:t>AI and software checks that must pass for a change type.</w:t>
            </w:r>
          </w:p>
        </w:tc>
        <w:tc>
          <w:tcPr>
            <w:tcW w:type="dxa" w:w="2736"/>
            <w:vAlign w:val="center"/>
          </w:tcPr>
          <w:p>
            <w:pPr>
              <w:pStyle w:val="Body"/>
              <w:spacing w:after="60" w:before="40"/>
              <w:jc w:val="left"/>
            </w:pPr>
            <w:r>
              <w:rPr>
                <w:sz w:val="17"/>
              </w:rPr>
              <w:t>Eval store, CI</w:t>
            </w:r>
          </w:p>
        </w:tc>
      </w:tr>
      <w:tr>
        <w:tc>
          <w:tcPr>
            <w:tcW w:type="dxa" w:w="2232"/>
            <w:vAlign w:val="center"/>
          </w:tcPr>
          <w:p>
            <w:pPr>
              <w:pStyle w:val="Body"/>
              <w:spacing w:after="60" w:before="40"/>
              <w:jc w:val="left"/>
            </w:pPr>
            <w:r>
              <w:rPr>
                <w:sz w:val="17"/>
              </w:rPr>
              <w:t>Prompt/model route</w:t>
            </w:r>
          </w:p>
        </w:tc>
        <w:tc>
          <w:tcPr>
            <w:tcW w:type="dxa" w:w="4536"/>
            <w:vAlign w:val="center"/>
          </w:tcPr>
          <w:p>
            <w:pPr>
              <w:pStyle w:val="Body"/>
              <w:spacing w:after="60" w:before="40"/>
              <w:jc w:val="left"/>
            </w:pPr>
            <w:r>
              <w:rPr>
                <w:sz w:val="17"/>
              </w:rPr>
              <w:t>Versioned AI behavior surface that may change independently of code.</w:t>
            </w:r>
          </w:p>
        </w:tc>
        <w:tc>
          <w:tcPr>
            <w:tcW w:type="dxa" w:w="2736"/>
            <w:vAlign w:val="center"/>
          </w:tcPr>
          <w:p>
            <w:pPr>
              <w:pStyle w:val="Body"/>
              <w:spacing w:after="60" w:before="40"/>
              <w:jc w:val="left"/>
            </w:pPr>
            <w:r>
              <w:rPr>
                <w:sz w:val="17"/>
              </w:rPr>
              <w:t>Prompt registry, config repo</w:t>
            </w:r>
          </w:p>
        </w:tc>
      </w:tr>
      <w:tr>
        <w:tc>
          <w:tcPr>
            <w:tcW w:type="dxa" w:w="2232"/>
            <w:vAlign w:val="center"/>
          </w:tcPr>
          <w:p>
            <w:pPr>
              <w:pStyle w:val="Body"/>
              <w:spacing w:after="60" w:before="40"/>
              <w:jc w:val="left"/>
            </w:pPr>
            <w:r>
              <w:rPr>
                <w:sz w:val="17"/>
              </w:rPr>
              <w:t>Release</w:t>
            </w:r>
          </w:p>
        </w:tc>
        <w:tc>
          <w:tcPr>
            <w:tcW w:type="dxa" w:w="4536"/>
            <w:vAlign w:val="center"/>
          </w:tcPr>
          <w:p>
            <w:pPr>
              <w:pStyle w:val="Body"/>
              <w:spacing w:after="60" w:before="40"/>
              <w:jc w:val="left"/>
            </w:pPr>
            <w:r>
              <w:rPr>
                <w:sz w:val="17"/>
              </w:rPr>
              <w:t>Packaged change set, rollout plan, notes, and approvals.</w:t>
            </w:r>
          </w:p>
        </w:tc>
        <w:tc>
          <w:tcPr>
            <w:tcW w:type="dxa" w:w="2736"/>
            <w:vAlign w:val="center"/>
          </w:tcPr>
          <w:p>
            <w:pPr>
              <w:pStyle w:val="Body"/>
              <w:spacing w:after="60" w:before="40"/>
              <w:jc w:val="left"/>
            </w:pPr>
            <w:r>
              <w:rPr>
                <w:sz w:val="17"/>
              </w:rPr>
              <w:t>CI/CD, release tooling</w:t>
            </w:r>
          </w:p>
        </w:tc>
      </w:tr>
      <w:tr>
        <w:tc>
          <w:tcPr>
            <w:tcW w:type="dxa" w:w="2232"/>
            <w:vAlign w:val="center"/>
          </w:tcPr>
          <w:p>
            <w:pPr>
              <w:pStyle w:val="Body"/>
              <w:spacing w:after="60" w:before="40"/>
              <w:jc w:val="left"/>
            </w:pPr>
            <w:r>
              <w:rPr>
                <w:sz w:val="17"/>
              </w:rPr>
              <w:t>Incident</w:t>
            </w:r>
          </w:p>
        </w:tc>
        <w:tc>
          <w:tcPr>
            <w:tcW w:type="dxa" w:w="4536"/>
            <w:vAlign w:val="center"/>
          </w:tcPr>
          <w:p>
            <w:pPr>
              <w:pStyle w:val="Body"/>
              <w:spacing w:after="60" w:before="40"/>
              <w:jc w:val="left"/>
            </w:pPr>
            <w:r>
              <w:rPr>
                <w:sz w:val="17"/>
              </w:rPr>
              <w:t>Production problem with customer or operational impact.</w:t>
            </w:r>
          </w:p>
        </w:tc>
        <w:tc>
          <w:tcPr>
            <w:tcW w:type="dxa" w:w="2736"/>
            <w:vAlign w:val="center"/>
          </w:tcPr>
          <w:p>
            <w:pPr>
              <w:pStyle w:val="Body"/>
              <w:spacing w:after="60" w:before="40"/>
              <w:jc w:val="left"/>
            </w:pPr>
            <w:r>
              <w:rPr>
                <w:sz w:val="17"/>
              </w:rPr>
              <w:t>Sentry, Datadog, PagerDuty</w:t>
            </w:r>
          </w:p>
        </w:tc>
      </w:tr>
      <w:tr>
        <w:tc>
          <w:tcPr>
            <w:tcW w:type="dxa" w:w="2232"/>
            <w:vAlign w:val="center"/>
          </w:tcPr>
          <w:p>
            <w:pPr>
              <w:pStyle w:val="Body"/>
              <w:spacing w:after="60" w:before="40"/>
              <w:jc w:val="left"/>
            </w:pPr>
            <w:r>
              <w:rPr>
                <w:sz w:val="17"/>
              </w:rPr>
              <w:t>Regression case</w:t>
            </w:r>
          </w:p>
        </w:tc>
        <w:tc>
          <w:tcPr>
            <w:tcW w:type="dxa" w:w="4536"/>
            <w:vAlign w:val="center"/>
          </w:tcPr>
          <w:p>
            <w:pPr>
              <w:pStyle w:val="Body"/>
              <w:spacing w:after="60" w:before="40"/>
              <w:jc w:val="left"/>
            </w:pPr>
            <w:r>
              <w:rPr>
                <w:sz w:val="17"/>
              </w:rPr>
              <w:t>Test or eval derived from prior failure or bad conversation.</w:t>
            </w:r>
          </w:p>
        </w:tc>
        <w:tc>
          <w:tcPr>
            <w:tcW w:type="dxa" w:w="2736"/>
            <w:vAlign w:val="center"/>
          </w:tcPr>
          <w:p>
            <w:pPr>
              <w:pStyle w:val="Body"/>
              <w:spacing w:after="60" w:before="40"/>
              <w:jc w:val="left"/>
            </w:pPr>
            <w:r>
              <w:rPr>
                <w:sz w:val="17"/>
              </w:rPr>
              <w:t>Eval store, test suite</w:t>
            </w:r>
          </w:p>
        </w:tc>
      </w:tr>
    </w:tbl>
    <w:p/>
    <w:p>
      <w:pPr>
        <w:jc w:val="center"/>
      </w:pPr>
      <w:r>
        <w:drawing>
          <wp:inline xmlns:a="http://schemas.openxmlformats.org/drawingml/2006/main" xmlns:pic="http://schemas.openxmlformats.org/drawingml/2006/picture">
            <wp:extent cx="6126480" cy="2212340"/>
            <wp:docPr id="2" name="Picture 2"/>
            <wp:cNvGraphicFramePr>
              <a:graphicFrameLocks noChangeAspect="1"/>
            </wp:cNvGraphicFramePr>
            <a:graphic>
              <a:graphicData uri="http://schemas.openxmlformats.org/drawingml/2006/picture">
                <pic:pic>
                  <pic:nvPicPr>
                    <pic:cNvPr id="0" name="buildops_flow.png"/>
                    <pic:cNvPicPr/>
                  </pic:nvPicPr>
                  <pic:blipFill>
                    <a:blip r:embed="rId25"/>
                    <a:stretch>
                      <a:fillRect/>
                    </a:stretch>
                  </pic:blipFill>
                  <pic:spPr>
                    <a:xfrm>
                      <a:off x="0" y="0"/>
                      <a:ext cx="6126480" cy="2212340"/>
                    </a:xfrm>
                    <a:prstGeom prst="rect"/>
                  </pic:spPr>
                </pic:pic>
              </a:graphicData>
            </a:graphic>
          </wp:inline>
        </w:drawing>
      </w:r>
    </w:p>
    <w:p>
      <w:pPr>
        <w:pStyle w:val="Caption"/>
        <w:jc w:val="center"/>
      </w:pPr>
      <w:r>
        <w:t>Figure 2. Default collaboration pattern for the AI BuildOps conveyor: a work item flows from intake through spec, planning, build, eval, release, and feedback.</w:t>
      </w:r>
    </w:p>
    <w:p>
      <w:pPr>
        <w:pStyle w:val="RuhHeading1"/>
        <w:keepNext/>
        <w:spacing w:before="320" w:after="160"/>
      </w:pPr>
      <w:r>
        <w:t>5. Employee roster and collaboration contract</w:t>
      </w:r>
    </w:p>
    <w:p>
      <w:pPr>
        <w:pStyle w:val="Body"/>
        <w:spacing w:after="120" w:before="0" w:line="276" w:lineRule="auto"/>
      </w:pPr>
      <w:r>
        <w:t>The pack exports seven default employees. Each employee has one primary responsibility and a narrow capability set. Collaboration happens through official workflow tasks and artifacts, never through hidden side channels.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2541"/>
        <w:gridCol w:w="2541"/>
        <w:gridCol w:w="2541"/>
        <w:gridCol w:w="2541"/>
      </w:tblGrid>
      <w:tr>
        <w:tc>
          <w:tcPr>
            <w:tcW w:type="dxa" w:w="2232"/>
            <w:vAlign w:val="center"/>
            <w:shd w:fill="DDE8F2" w:val="clear" w:color="auto"/>
          </w:tcPr>
          <w:p>
            <w:pPr>
              <w:pStyle w:val="Body"/>
              <w:jc w:val="center"/>
            </w:pPr>
            <w:r>
              <w:rPr>
                <w:b/>
                <w:sz w:val="17"/>
              </w:rPr>
              <w:t>Employee</w:t>
            </w:r>
          </w:p>
        </w:tc>
        <w:tc>
          <w:tcPr>
            <w:tcW w:type="dxa" w:w="3671"/>
            <w:vAlign w:val="center"/>
            <w:shd w:fill="DDE8F2" w:val="clear" w:color="auto"/>
          </w:tcPr>
          <w:p>
            <w:pPr>
              <w:pStyle w:val="Body"/>
              <w:jc w:val="center"/>
            </w:pPr>
            <w:r>
              <w:rPr>
                <w:b/>
                <w:sz w:val="17"/>
              </w:rPr>
              <w:t>Primary lane</w:t>
            </w:r>
          </w:p>
        </w:tc>
        <w:tc>
          <w:tcPr>
            <w:tcW w:type="dxa" w:w="1296"/>
            <w:vAlign w:val="center"/>
            <w:shd w:fill="DDE8F2" w:val="clear" w:color="auto"/>
          </w:tcPr>
          <w:p>
            <w:pPr>
              <w:pStyle w:val="Body"/>
              <w:jc w:val="center"/>
            </w:pPr>
            <w:r>
              <w:rPr>
                <w:b/>
                <w:sz w:val="17"/>
              </w:rPr>
              <w:t>Default risk tier</w:t>
            </w:r>
          </w:p>
        </w:tc>
        <w:tc>
          <w:tcPr>
            <w:tcW w:type="dxa" w:w="2664"/>
            <w:vAlign w:val="center"/>
            <w:shd w:fill="DDE8F2" w:val="clear" w:color="auto"/>
          </w:tcPr>
          <w:p>
            <w:pPr>
              <w:pStyle w:val="Body"/>
              <w:jc w:val="center"/>
            </w:pPr>
            <w:r>
              <w:rPr>
                <w:b/>
                <w:sz w:val="17"/>
              </w:rPr>
              <w:t>What success looks like</w:t>
            </w:r>
          </w:p>
        </w:tc>
      </w:tr>
      <w:tr>
        <w:tc>
          <w:tcPr>
            <w:tcW w:type="dxa" w:w="2232"/>
            <w:vAlign w:val="center"/>
          </w:tcPr>
          <w:p>
            <w:pPr>
              <w:pStyle w:val="Body"/>
              <w:spacing w:after="60" w:before="40"/>
              <w:jc w:val="left"/>
            </w:pPr>
            <w:r>
              <w:rPr>
                <w:sz w:val="17"/>
              </w:rPr>
              <w:t>Intake &amp; triage</w:t>
            </w:r>
          </w:p>
        </w:tc>
        <w:tc>
          <w:tcPr>
            <w:tcW w:type="dxa" w:w="3671"/>
            <w:vAlign w:val="center"/>
          </w:tcPr>
          <w:p>
            <w:pPr>
              <w:pStyle w:val="Body"/>
              <w:spacing w:after="60" w:before="40"/>
              <w:jc w:val="left"/>
            </w:pPr>
            <w:r>
              <w:rPr>
                <w:sz w:val="17"/>
              </w:rPr>
              <w:t>Normalize inbound signal and create a clean work item</w:t>
            </w:r>
          </w:p>
        </w:tc>
        <w:tc>
          <w:tcPr>
            <w:tcW w:type="dxa" w:w="1296"/>
            <w:vAlign w:val="center"/>
          </w:tcPr>
          <w:p>
            <w:pPr>
              <w:pStyle w:val="Body"/>
              <w:spacing w:after="60" w:before="40"/>
              <w:jc w:val="left"/>
            </w:pPr>
            <w:r>
              <w:rPr>
                <w:sz w:val="17"/>
              </w:rPr>
              <w:t>Low</w:t>
            </w:r>
          </w:p>
        </w:tc>
        <w:tc>
          <w:tcPr>
            <w:tcW w:type="dxa" w:w="2664"/>
            <w:vAlign w:val="center"/>
          </w:tcPr>
          <w:p>
            <w:pPr>
              <w:pStyle w:val="Body"/>
              <w:spacing w:after="60" w:before="40"/>
              <w:jc w:val="left"/>
            </w:pPr>
            <w:r>
              <w:rPr>
                <w:sz w:val="17"/>
              </w:rPr>
              <w:t>Important signals are deduplicated, prioritized, and assigned fast.</w:t>
            </w:r>
          </w:p>
        </w:tc>
      </w:tr>
      <w:tr>
        <w:tc>
          <w:tcPr>
            <w:tcW w:type="dxa" w:w="2232"/>
            <w:vAlign w:val="center"/>
          </w:tcPr>
          <w:p>
            <w:pPr>
              <w:pStyle w:val="Body"/>
              <w:spacing w:after="60" w:before="40"/>
              <w:jc w:val="left"/>
            </w:pPr>
            <w:r>
              <w:rPr>
                <w:sz w:val="17"/>
              </w:rPr>
              <w:t>Spec employee</w:t>
            </w:r>
          </w:p>
        </w:tc>
        <w:tc>
          <w:tcPr>
            <w:tcW w:type="dxa" w:w="3671"/>
            <w:vAlign w:val="center"/>
          </w:tcPr>
          <w:p>
            <w:pPr>
              <w:pStyle w:val="Body"/>
              <w:spacing w:after="60" w:before="40"/>
              <w:jc w:val="left"/>
            </w:pPr>
            <w:r>
              <w:rPr>
                <w:sz w:val="17"/>
              </w:rPr>
              <w:t>Turn ambiguous requests into a usable spec package</w:t>
            </w:r>
          </w:p>
        </w:tc>
        <w:tc>
          <w:tcPr>
            <w:tcW w:type="dxa" w:w="1296"/>
            <w:vAlign w:val="center"/>
          </w:tcPr>
          <w:p>
            <w:pPr>
              <w:pStyle w:val="Body"/>
              <w:spacing w:after="60" w:before="40"/>
              <w:jc w:val="left"/>
            </w:pPr>
            <w:r>
              <w:rPr>
                <w:sz w:val="17"/>
              </w:rPr>
              <w:t>Low</w:t>
            </w:r>
          </w:p>
        </w:tc>
        <w:tc>
          <w:tcPr>
            <w:tcW w:type="dxa" w:w="2664"/>
            <w:vAlign w:val="center"/>
          </w:tcPr>
          <w:p>
            <w:pPr>
              <w:pStyle w:val="Body"/>
              <w:spacing w:after="60" w:before="40"/>
              <w:jc w:val="left"/>
            </w:pPr>
            <w:r>
              <w:rPr>
                <w:sz w:val="17"/>
              </w:rPr>
              <w:t>Teams start with clearer requirements and acceptance criteria.</w:t>
            </w:r>
          </w:p>
        </w:tc>
      </w:tr>
      <w:tr>
        <w:tc>
          <w:tcPr>
            <w:tcW w:type="dxa" w:w="2232"/>
            <w:vAlign w:val="center"/>
          </w:tcPr>
          <w:p>
            <w:pPr>
              <w:pStyle w:val="Body"/>
              <w:spacing w:after="60" w:before="40"/>
              <w:jc w:val="left"/>
            </w:pPr>
            <w:r>
              <w:rPr>
                <w:sz w:val="17"/>
              </w:rPr>
              <w:t>Architecture planner</w:t>
            </w:r>
          </w:p>
        </w:tc>
        <w:tc>
          <w:tcPr>
            <w:tcW w:type="dxa" w:w="3671"/>
            <w:vAlign w:val="center"/>
          </w:tcPr>
          <w:p>
            <w:pPr>
              <w:pStyle w:val="Body"/>
              <w:spacing w:after="60" w:before="40"/>
              <w:jc w:val="left"/>
            </w:pPr>
            <w:r>
              <w:rPr>
                <w:sz w:val="17"/>
              </w:rPr>
              <w:t>Propose implementation plan and touched systems</w:t>
            </w:r>
          </w:p>
        </w:tc>
        <w:tc>
          <w:tcPr>
            <w:tcW w:type="dxa" w:w="1296"/>
            <w:vAlign w:val="center"/>
          </w:tcPr>
          <w:p>
            <w:pPr>
              <w:pStyle w:val="Body"/>
              <w:spacing w:after="60" w:before="40"/>
              <w:jc w:val="left"/>
            </w:pPr>
            <w:r>
              <w:rPr>
                <w:sz w:val="17"/>
              </w:rPr>
              <w:t>Low-Medium</w:t>
            </w:r>
          </w:p>
        </w:tc>
        <w:tc>
          <w:tcPr>
            <w:tcW w:type="dxa" w:w="2664"/>
            <w:vAlign w:val="center"/>
          </w:tcPr>
          <w:p>
            <w:pPr>
              <w:pStyle w:val="Body"/>
              <w:spacing w:after="60" w:before="40"/>
              <w:jc w:val="left"/>
            </w:pPr>
            <w:r>
              <w:rPr>
                <w:sz w:val="17"/>
              </w:rPr>
              <w:t>Humans review better first-pass technical plans.</w:t>
            </w:r>
          </w:p>
        </w:tc>
      </w:tr>
      <w:tr>
        <w:tc>
          <w:tcPr>
            <w:tcW w:type="dxa" w:w="2232"/>
            <w:vAlign w:val="center"/>
          </w:tcPr>
          <w:p>
            <w:pPr>
              <w:pStyle w:val="Body"/>
              <w:spacing w:after="60" w:before="40"/>
              <w:jc w:val="left"/>
            </w:pPr>
            <w:r>
              <w:rPr>
                <w:sz w:val="17"/>
              </w:rPr>
              <w:t>Builder orchestrator</w:t>
            </w:r>
          </w:p>
        </w:tc>
        <w:tc>
          <w:tcPr>
            <w:tcW w:type="dxa" w:w="3671"/>
            <w:vAlign w:val="center"/>
          </w:tcPr>
          <w:p>
            <w:pPr>
              <w:pStyle w:val="Body"/>
              <w:spacing w:after="60" w:before="40"/>
              <w:jc w:val="left"/>
            </w:pPr>
            <w:r>
              <w:rPr>
                <w:sz w:val="17"/>
              </w:rPr>
              <w:t>Coordinate coding agents, branches, and PR creation</w:t>
            </w:r>
          </w:p>
        </w:tc>
        <w:tc>
          <w:tcPr>
            <w:tcW w:type="dxa" w:w="1296"/>
            <w:vAlign w:val="center"/>
          </w:tcPr>
          <w:p>
            <w:pPr>
              <w:pStyle w:val="Body"/>
              <w:spacing w:after="60" w:before="40"/>
              <w:jc w:val="left"/>
            </w:pPr>
            <w:r>
              <w:rPr>
                <w:sz w:val="17"/>
              </w:rPr>
              <w:t>Medium</w:t>
            </w:r>
          </w:p>
        </w:tc>
        <w:tc>
          <w:tcPr>
            <w:tcW w:type="dxa" w:w="2664"/>
            <w:vAlign w:val="center"/>
          </w:tcPr>
          <w:p>
            <w:pPr>
              <w:pStyle w:val="Body"/>
              <w:spacing w:after="60" w:before="40"/>
              <w:jc w:val="left"/>
            </w:pPr>
            <w:r>
              <w:rPr>
                <w:sz w:val="17"/>
              </w:rPr>
              <w:t>Changes arrive as reviewable PRs with context attached.</w:t>
            </w:r>
          </w:p>
        </w:tc>
      </w:tr>
      <w:tr>
        <w:tc>
          <w:tcPr>
            <w:tcW w:type="dxa" w:w="2232"/>
            <w:vAlign w:val="center"/>
          </w:tcPr>
          <w:p>
            <w:pPr>
              <w:pStyle w:val="Body"/>
              <w:spacing w:after="60" w:before="40"/>
              <w:jc w:val="left"/>
            </w:pPr>
            <w:r>
              <w:rPr>
                <w:sz w:val="17"/>
              </w:rPr>
              <w:t>QA &amp; evals</w:t>
            </w:r>
          </w:p>
        </w:tc>
        <w:tc>
          <w:tcPr>
            <w:tcW w:type="dxa" w:w="3671"/>
            <w:vAlign w:val="center"/>
          </w:tcPr>
          <w:p>
            <w:pPr>
              <w:pStyle w:val="Body"/>
              <w:spacing w:after="60" w:before="40"/>
              <w:jc w:val="left"/>
            </w:pPr>
            <w:r>
              <w:rPr>
                <w:sz w:val="17"/>
              </w:rPr>
              <w:t>Run tests, generate regression cases, and block risky changes</w:t>
            </w:r>
          </w:p>
        </w:tc>
        <w:tc>
          <w:tcPr>
            <w:tcW w:type="dxa" w:w="1296"/>
            <w:vAlign w:val="center"/>
          </w:tcPr>
          <w:p>
            <w:pPr>
              <w:pStyle w:val="Body"/>
              <w:spacing w:after="60" w:before="40"/>
              <w:jc w:val="left"/>
            </w:pPr>
            <w:r>
              <w:rPr>
                <w:sz w:val="17"/>
              </w:rPr>
              <w:t>Medium</w:t>
            </w:r>
          </w:p>
        </w:tc>
        <w:tc>
          <w:tcPr>
            <w:tcW w:type="dxa" w:w="2664"/>
            <w:vAlign w:val="center"/>
          </w:tcPr>
          <w:p>
            <w:pPr>
              <w:pStyle w:val="Body"/>
              <w:spacing w:after="60" w:before="40"/>
              <w:jc w:val="left"/>
            </w:pPr>
            <w:r>
              <w:rPr>
                <w:sz w:val="17"/>
              </w:rPr>
              <w:t>AI and code regressions are caught before release.</w:t>
            </w:r>
          </w:p>
        </w:tc>
      </w:tr>
      <w:tr>
        <w:tc>
          <w:tcPr>
            <w:tcW w:type="dxa" w:w="2232"/>
            <w:vAlign w:val="center"/>
          </w:tcPr>
          <w:p>
            <w:pPr>
              <w:pStyle w:val="Body"/>
              <w:spacing w:after="60" w:before="40"/>
              <w:jc w:val="left"/>
            </w:pPr>
            <w:r>
              <w:rPr>
                <w:sz w:val="17"/>
              </w:rPr>
              <w:t>Review &amp; release</w:t>
            </w:r>
          </w:p>
        </w:tc>
        <w:tc>
          <w:tcPr>
            <w:tcW w:type="dxa" w:w="3671"/>
            <w:vAlign w:val="center"/>
          </w:tcPr>
          <w:p>
            <w:pPr>
              <w:pStyle w:val="Body"/>
              <w:spacing w:after="60" w:before="40"/>
              <w:jc w:val="left"/>
            </w:pPr>
            <w:r>
              <w:rPr>
                <w:sz w:val="17"/>
              </w:rPr>
              <w:t>Prepare release artifacts, rollout notes, and enablement summaries</w:t>
            </w:r>
          </w:p>
        </w:tc>
        <w:tc>
          <w:tcPr>
            <w:tcW w:type="dxa" w:w="1296"/>
            <w:vAlign w:val="center"/>
          </w:tcPr>
          <w:p>
            <w:pPr>
              <w:pStyle w:val="Body"/>
              <w:spacing w:after="60" w:before="40"/>
              <w:jc w:val="left"/>
            </w:pPr>
            <w:r>
              <w:rPr>
                <w:sz w:val="17"/>
              </w:rPr>
              <w:t>Medium</w:t>
            </w:r>
          </w:p>
        </w:tc>
        <w:tc>
          <w:tcPr>
            <w:tcW w:type="dxa" w:w="2664"/>
            <w:vAlign w:val="center"/>
          </w:tcPr>
          <w:p>
            <w:pPr>
              <w:pStyle w:val="Body"/>
              <w:spacing w:after="60" w:before="40"/>
              <w:jc w:val="left"/>
            </w:pPr>
            <w:r>
              <w:rPr>
                <w:sz w:val="17"/>
              </w:rPr>
              <w:t>Release prep is faster and more consistent.</w:t>
            </w:r>
          </w:p>
        </w:tc>
      </w:tr>
      <w:tr>
        <w:tc>
          <w:tcPr>
            <w:tcW w:type="dxa" w:w="2232"/>
            <w:vAlign w:val="center"/>
          </w:tcPr>
          <w:p>
            <w:pPr>
              <w:pStyle w:val="Body"/>
              <w:spacing w:after="60" w:before="40"/>
              <w:jc w:val="left"/>
            </w:pPr>
            <w:r>
              <w:rPr>
                <w:sz w:val="17"/>
              </w:rPr>
              <w:t>Incident &amp; feedback</w:t>
            </w:r>
          </w:p>
        </w:tc>
        <w:tc>
          <w:tcPr>
            <w:tcW w:type="dxa" w:w="3671"/>
            <w:vAlign w:val="center"/>
          </w:tcPr>
          <w:p>
            <w:pPr>
              <w:pStyle w:val="Body"/>
              <w:spacing w:after="60" w:before="40"/>
              <w:jc w:val="left"/>
            </w:pPr>
            <w:r>
              <w:rPr>
                <w:sz w:val="17"/>
              </w:rPr>
              <w:t>Correlate incidents, summarize RCA, and feed failures back into evals</w:t>
            </w:r>
          </w:p>
        </w:tc>
        <w:tc>
          <w:tcPr>
            <w:tcW w:type="dxa" w:w="1296"/>
            <w:vAlign w:val="center"/>
          </w:tcPr>
          <w:p>
            <w:pPr>
              <w:pStyle w:val="Body"/>
              <w:spacing w:after="60" w:before="40"/>
              <w:jc w:val="left"/>
            </w:pPr>
            <w:r>
              <w:rPr>
                <w:sz w:val="17"/>
              </w:rPr>
              <w:t>Medium</w:t>
            </w:r>
          </w:p>
        </w:tc>
        <w:tc>
          <w:tcPr>
            <w:tcW w:type="dxa" w:w="2664"/>
            <w:vAlign w:val="center"/>
          </w:tcPr>
          <w:p>
            <w:pPr>
              <w:pStyle w:val="Body"/>
              <w:spacing w:after="60" w:before="40"/>
              <w:jc w:val="left"/>
            </w:pPr>
            <w:r>
              <w:rPr>
                <w:sz w:val="17"/>
              </w:rPr>
              <w:t>Production issues create learning loops instead of one-off cleanup.</w:t>
            </w:r>
          </w:p>
        </w:tc>
      </w:tr>
    </w:tbl>
    <w:p/>
    <w:p>
      <w:pPr>
        <w:pStyle w:val="RuhHeading2"/>
        <w:keepNext/>
        <w:spacing w:before="200" w:after="120"/>
      </w:pPr>
      <w:r>
        <w:t>5.1 Intake &amp; triage</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Normalizes fragmented inputs across product, support, engineering, and operations into typed work items with evidence links and severity hints.</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Slack thread; support ticket; observability alert; product request; manually submitted work request.</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signal.normalize; work-item.create; duplicate.cluster</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Work-item brief; source bundle; severity recommendation; owner/team suggestion.</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messaging.read; issue.read/write; docs.search; observability.read; task.write-internal</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Auto for internal work-item creation and routing. External responses remain human-controlled.</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Time-to-owner; duplicate rate; triage precision.</w:t>
            </w:r>
          </w:p>
        </w:tc>
      </w:tr>
    </w:tbl>
    <w:p/>
    <w:p>
      <w:pPr>
        <w:pStyle w:val="RuhHeading2"/>
        <w:keepNext/>
        <w:spacing w:before="200" w:after="120"/>
      </w:pPr>
      <w:r>
        <w:t>5.2 Spec employee</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Turns messy requirements into a specification package that engineering and product can review before implementation starts.</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Approved work item; PM request; support escalation needing a product fix.</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spec.generate; acceptance-criteria.expand; rollout-notes.prepare</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Spec package; open questions; risk notes; rollout checklist draft.</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docs.read/write-draft; issue.read/write-draft; messaging.draft</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Human review required before the spec becomes the official implementation target.</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Spec completeness; review acceptance; rework reduction.</w:t>
            </w:r>
          </w:p>
        </w:tc>
      </w:tr>
    </w:tbl>
    <w:p/>
    <w:p>
      <w:pPr>
        <w:pStyle w:val="RuhHeading2"/>
        <w:keepNext/>
        <w:spacing w:before="200" w:after="120"/>
      </w:pPr>
      <w:r>
        <w:t>5.3 Architecture planner</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Produces a first-pass technical plan from the codebase, docs, and recent incidents so humans start from a stronger design baseline.</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Approved spec package; incident follow-up; change request touching multiple systems.</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plan.generate; touched-systems.predict; migration-risk.assess</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Technical plan; touched services/files; migration and dependency risks; test strategy draft.</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repo.read; docs.read; search.index.read; issue.write-draft</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Plan approval required before a builder workflow starts on medium or high-risk changes.</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Plan acceptance; file-touch prediction quality; review churn reduction.</w:t>
            </w:r>
          </w:p>
        </w:tc>
      </w:tr>
    </w:tbl>
    <w:p/>
    <w:p>
      <w:pPr>
        <w:pStyle w:val="RuhHeading2"/>
        <w:keepNext/>
        <w:spacing w:before="200" w:after="120"/>
      </w:pPr>
      <w:r>
        <w:t>5.4 Builder orchestrator</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Coordinates the mechanical execution steps around implementation by creating the right branch, invoking the right coding agent, opening the PR, and attaching context back to the work item.</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Approved technical plan; approved small change request; follow-up fix from eval failure.</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build.start; branch.create; coding-agent.invoke; pr.open</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Branch; pull request; linked CI run; implementation summary; follow-up tasks.</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repo.read/write-limited; issue.update; ci.trigger; coding-agent.control</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No direct merge or protected-branch write. PR creation may be automated under policy.</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Spec-to-PR time; PR completeness; failure-to-retry handling.</w:t>
            </w:r>
          </w:p>
        </w:tc>
      </w:tr>
    </w:tbl>
    <w:p/>
    <w:p>
      <w:pPr>
        <w:pStyle w:val="RuhHeading2"/>
        <w:keepNext/>
        <w:spacing w:before="200" w:after="120"/>
      </w:pPr>
      <w:r>
        <w:t>5.5 QA &amp; evals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Makes quality gates explicit for both classical software behavior and AI behavior by turning failures into tests and blocking risky changes before release.</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New PR; prompt/model/tool change; incident follow-up; bad production conversation.</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test.run; eval.run; regression-case.generate; gate.decision</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Eval run summary; regression bundle; blocked-change rationale; quality dashboard update.</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ci.trigger; eval.store.read/write; repo.read; model-config.read</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Auto for eval execution. Any gate override requires human approval and is fully logged.</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Eval pass rate; escaped-regression reduction; regression-case growth.</w:t>
            </w:r>
          </w:p>
        </w:tc>
      </w:tr>
    </w:tbl>
    <w:p/>
    <w:p>
      <w:pPr>
        <w:pStyle w:val="RuhHeading2"/>
        <w:keepNext/>
        <w:spacing w:before="200" w:after="120"/>
      </w:pPr>
      <w:r>
        <w:t>5.6 Review &amp; release</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Packages approved changes into clear release artifacts, rollout notes, and internal enablement summaries.</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PR approved; release window reached; feature-flag change ready.</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release.prepare; changelog.compose; rollout-checklist.generate</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Release brief; changelog; customer/internal summary; rollout checklist.</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repo.read; ci.read; docs.write-draft; messaging.draft; feature-flag.read</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Production deploy and external customer communication require explicit approval.</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Release prep time; change-summary quality; rollback readiness.</w:t>
            </w:r>
          </w:p>
        </w:tc>
      </w:tr>
    </w:tbl>
    <w:p/>
    <w:p>
      <w:pPr>
        <w:pStyle w:val="RuhHeading2"/>
        <w:keepNext/>
        <w:spacing w:before="200" w:after="120"/>
      </w:pPr>
      <w:r>
        <w:t>5.7 Incident &amp; feedback</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Closes the learning loop by correlating incidents, recent changes, and user feedback, then converting real failures into new tasks, tests, and evals.</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Incident created; postmortem request; repeated support complaint; eval miss in production.</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incident.summarize; rca.draft; regression-case.backfill</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Incident summary; RCA draft; linked code-change evidence; new regression cases; follow-up work items.</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observability.read; repo.read; issue.write-draft; eval.store.write; docs.write-draft</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External incident communication stays human-owned. Internal RCA and follow-up drafts may auto-generate.</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Incident-to-RCA time; evidence-link quality; production-failure-to-regression conversion rate.</w:t>
            </w:r>
          </w:p>
        </w:tc>
      </w:tr>
    </w:tbl>
    <w:p/>
    <w:p>
      <w:pPr>
        <w:pStyle w:val="RuhHeading1"/>
        <w:keepNext/>
        <w:spacing w:before="320" w:after="160"/>
      </w:pPr>
      <w:r>
        <w:t>6. Workflow catalog</w:t>
      </w:r>
    </w:p>
    <w:p>
      <w:pPr>
        <w:pStyle w:val="Body"/>
        <w:spacing w:after="120" w:before="0" w:line="276" w:lineRule="auto"/>
      </w:pPr>
      <w:r>
        <w:t>The reference pack organizes work as a conveyor. Each workflow is reusable pack content that can be composed into a tenant-specific operating model through overlays and policy settings.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1694"/>
        <w:gridCol w:w="1694"/>
        <w:gridCol w:w="1694"/>
        <w:gridCol w:w="1694"/>
        <w:gridCol w:w="1694"/>
        <w:gridCol w:w="1694"/>
      </w:tblGrid>
      <w:tr>
        <w:tc>
          <w:tcPr>
            <w:tcW w:type="dxa" w:w="1800"/>
            <w:vAlign w:val="center"/>
            <w:shd w:fill="DDE8F2" w:val="clear" w:color="auto"/>
          </w:tcPr>
          <w:p>
            <w:pPr>
              <w:pStyle w:val="Body"/>
              <w:jc w:val="center"/>
            </w:pPr>
            <w:r>
              <w:rPr>
                <w:b/>
                <w:sz w:val="16"/>
              </w:rPr>
              <w:t>Workflow</w:t>
            </w:r>
          </w:p>
        </w:tc>
        <w:tc>
          <w:tcPr>
            <w:tcW w:type="dxa" w:w="1584"/>
            <w:vAlign w:val="center"/>
            <w:shd w:fill="DDE8F2" w:val="clear" w:color="auto"/>
          </w:tcPr>
          <w:p>
            <w:pPr>
              <w:pStyle w:val="Body"/>
              <w:jc w:val="center"/>
            </w:pPr>
            <w:r>
              <w:rPr>
                <w:b/>
                <w:sz w:val="16"/>
              </w:rPr>
              <w:t>Primary trigger</w:t>
            </w:r>
          </w:p>
        </w:tc>
        <w:tc>
          <w:tcPr>
            <w:tcW w:type="dxa" w:w="2088"/>
            <w:vAlign w:val="center"/>
            <w:shd w:fill="DDE8F2" w:val="clear" w:color="auto"/>
          </w:tcPr>
          <w:p>
            <w:pPr>
              <w:pStyle w:val="Body"/>
              <w:jc w:val="center"/>
            </w:pPr>
            <w:r>
              <w:rPr>
                <w:b/>
                <w:sz w:val="16"/>
              </w:rPr>
              <w:t>Employee pattern</w:t>
            </w:r>
          </w:p>
        </w:tc>
        <w:tc>
          <w:tcPr>
            <w:tcW w:type="dxa" w:w="2592"/>
            <w:vAlign w:val="center"/>
            <w:shd w:fill="DDE8F2" w:val="clear" w:color="auto"/>
          </w:tcPr>
          <w:p>
            <w:pPr>
              <w:pStyle w:val="Body"/>
              <w:jc w:val="center"/>
            </w:pPr>
            <w:r>
              <w:rPr>
                <w:b/>
                <w:sz w:val="16"/>
              </w:rPr>
              <w:t>What the workflow does</w:t>
            </w:r>
          </w:p>
        </w:tc>
        <w:tc>
          <w:tcPr>
            <w:tcW w:type="dxa" w:w="1655"/>
            <w:vAlign w:val="center"/>
            <w:shd w:fill="DDE8F2" w:val="clear" w:color="auto"/>
          </w:tcPr>
          <w:p>
            <w:pPr>
              <w:pStyle w:val="Body"/>
              <w:jc w:val="center"/>
            </w:pPr>
            <w:r>
              <w:rPr>
                <w:b/>
                <w:sz w:val="16"/>
              </w:rPr>
              <w:t>Approval gate</w:t>
            </w:r>
          </w:p>
        </w:tc>
        <w:tc>
          <w:tcPr>
            <w:tcW w:type="dxa" w:w="1368"/>
            <w:vAlign w:val="center"/>
            <w:shd w:fill="DDE8F2" w:val="clear" w:color="auto"/>
          </w:tcPr>
          <w:p>
            <w:pPr>
              <w:pStyle w:val="Body"/>
              <w:jc w:val="center"/>
            </w:pPr>
            <w:r>
              <w:rPr>
                <w:b/>
                <w:sz w:val="16"/>
              </w:rPr>
              <w:t>Primary measures</w:t>
            </w:r>
          </w:p>
        </w:tc>
      </w:tr>
      <w:tr>
        <w:tc>
          <w:tcPr>
            <w:tcW w:type="dxa" w:w="1800"/>
            <w:vAlign w:val="center"/>
          </w:tcPr>
          <w:p>
            <w:pPr>
              <w:pStyle w:val="Body"/>
              <w:spacing w:after="60" w:before="40"/>
              <w:jc w:val="left"/>
            </w:pPr>
            <w:r>
              <w:rPr>
                <w:sz w:val="16"/>
              </w:rPr>
              <w:t>Signal intake and triage</w:t>
            </w:r>
          </w:p>
        </w:tc>
        <w:tc>
          <w:tcPr>
            <w:tcW w:type="dxa" w:w="1584"/>
            <w:vAlign w:val="center"/>
          </w:tcPr>
          <w:p>
            <w:pPr>
              <w:pStyle w:val="Body"/>
              <w:spacing w:after="60" w:before="40"/>
              <w:jc w:val="left"/>
            </w:pPr>
            <w:r>
              <w:rPr>
                <w:sz w:val="16"/>
              </w:rPr>
              <w:t>Incoming request, alert, or thread</w:t>
            </w:r>
          </w:p>
        </w:tc>
        <w:tc>
          <w:tcPr>
            <w:tcW w:type="dxa" w:w="2088"/>
            <w:vAlign w:val="center"/>
          </w:tcPr>
          <w:p>
            <w:pPr>
              <w:pStyle w:val="Body"/>
              <w:spacing w:after="60" w:before="40"/>
              <w:jc w:val="left"/>
            </w:pPr>
            <w:r>
              <w:rPr>
                <w:sz w:val="16"/>
              </w:rPr>
              <w:t>Intake &amp; triage</w:t>
            </w:r>
          </w:p>
        </w:tc>
        <w:tc>
          <w:tcPr>
            <w:tcW w:type="dxa" w:w="2592"/>
            <w:vAlign w:val="center"/>
          </w:tcPr>
          <w:p>
            <w:pPr>
              <w:pStyle w:val="Body"/>
              <w:spacing w:after="60" w:before="40"/>
              <w:jc w:val="left"/>
            </w:pPr>
            <w:r>
              <w:rPr>
                <w:sz w:val="16"/>
              </w:rPr>
              <w:t>Cluster duplicates, link evidence, create work item, propose owner and priority</w:t>
            </w:r>
          </w:p>
        </w:tc>
        <w:tc>
          <w:tcPr>
            <w:tcW w:type="dxa" w:w="1655"/>
            <w:vAlign w:val="center"/>
          </w:tcPr>
          <w:p>
            <w:pPr>
              <w:pStyle w:val="Body"/>
              <w:spacing w:after="60" w:before="40"/>
              <w:jc w:val="left"/>
            </w:pPr>
            <w:r>
              <w:rPr>
                <w:sz w:val="16"/>
              </w:rPr>
              <w:t>Usually auto</w:t>
            </w:r>
          </w:p>
        </w:tc>
        <w:tc>
          <w:tcPr>
            <w:tcW w:type="dxa" w:w="1368"/>
            <w:vAlign w:val="center"/>
          </w:tcPr>
          <w:p>
            <w:pPr>
              <w:pStyle w:val="Body"/>
              <w:spacing w:after="60" w:before="40"/>
              <w:jc w:val="left"/>
            </w:pPr>
            <w:r>
              <w:rPr>
                <w:sz w:val="16"/>
              </w:rPr>
              <w:t>Time-to-owner; triage precision</w:t>
            </w:r>
          </w:p>
        </w:tc>
      </w:tr>
      <w:tr>
        <w:tc>
          <w:tcPr>
            <w:tcW w:type="dxa" w:w="1800"/>
            <w:vAlign w:val="center"/>
          </w:tcPr>
          <w:p>
            <w:pPr>
              <w:pStyle w:val="Body"/>
              <w:spacing w:after="60" w:before="40"/>
              <w:jc w:val="left"/>
            </w:pPr>
            <w:r>
              <w:rPr>
                <w:sz w:val="16"/>
              </w:rPr>
              <w:t>Spec generation</w:t>
            </w:r>
          </w:p>
        </w:tc>
        <w:tc>
          <w:tcPr>
            <w:tcW w:type="dxa" w:w="1584"/>
            <w:vAlign w:val="center"/>
          </w:tcPr>
          <w:p>
            <w:pPr>
              <w:pStyle w:val="Body"/>
              <w:spacing w:after="60" w:before="40"/>
              <w:jc w:val="left"/>
            </w:pPr>
            <w:r>
              <w:rPr>
                <w:sz w:val="16"/>
              </w:rPr>
              <w:t>Approved work item</w:t>
            </w:r>
          </w:p>
        </w:tc>
        <w:tc>
          <w:tcPr>
            <w:tcW w:type="dxa" w:w="2088"/>
            <w:vAlign w:val="center"/>
          </w:tcPr>
          <w:p>
            <w:pPr>
              <w:pStyle w:val="Body"/>
              <w:spacing w:after="60" w:before="40"/>
              <w:jc w:val="left"/>
            </w:pPr>
            <w:r>
              <w:rPr>
                <w:sz w:val="16"/>
              </w:rPr>
              <w:t>Spec employee</w:t>
            </w:r>
          </w:p>
        </w:tc>
        <w:tc>
          <w:tcPr>
            <w:tcW w:type="dxa" w:w="2592"/>
            <w:vAlign w:val="center"/>
          </w:tcPr>
          <w:p>
            <w:pPr>
              <w:pStyle w:val="Body"/>
              <w:spacing w:after="60" w:before="40"/>
              <w:jc w:val="left"/>
            </w:pPr>
            <w:r>
              <w:rPr>
                <w:sz w:val="16"/>
              </w:rPr>
              <w:t>Draft problem statement, acceptance criteria, rollout notes, and open questions</w:t>
            </w:r>
          </w:p>
        </w:tc>
        <w:tc>
          <w:tcPr>
            <w:tcW w:type="dxa" w:w="1655"/>
            <w:vAlign w:val="center"/>
          </w:tcPr>
          <w:p>
            <w:pPr>
              <w:pStyle w:val="Body"/>
              <w:spacing w:after="60" w:before="40"/>
              <w:jc w:val="left"/>
            </w:pPr>
            <w:r>
              <w:rPr>
                <w:sz w:val="16"/>
              </w:rPr>
              <w:t>Spec review required</w:t>
            </w:r>
          </w:p>
        </w:tc>
        <w:tc>
          <w:tcPr>
            <w:tcW w:type="dxa" w:w="1368"/>
            <w:vAlign w:val="center"/>
          </w:tcPr>
          <w:p>
            <w:pPr>
              <w:pStyle w:val="Body"/>
              <w:spacing w:after="60" w:before="40"/>
              <w:jc w:val="left"/>
            </w:pPr>
            <w:r>
              <w:rPr>
                <w:sz w:val="16"/>
              </w:rPr>
              <w:t>Spec acceptance; rework reduction</w:t>
            </w:r>
          </w:p>
        </w:tc>
      </w:tr>
      <w:tr>
        <w:tc>
          <w:tcPr>
            <w:tcW w:type="dxa" w:w="1800"/>
            <w:vAlign w:val="center"/>
          </w:tcPr>
          <w:p>
            <w:pPr>
              <w:pStyle w:val="Body"/>
              <w:spacing w:after="60" w:before="40"/>
              <w:jc w:val="left"/>
            </w:pPr>
            <w:r>
              <w:rPr>
                <w:sz w:val="16"/>
              </w:rPr>
              <w:t>Architecture planning</w:t>
            </w:r>
          </w:p>
        </w:tc>
        <w:tc>
          <w:tcPr>
            <w:tcW w:type="dxa" w:w="1584"/>
            <w:vAlign w:val="center"/>
          </w:tcPr>
          <w:p>
            <w:pPr>
              <w:pStyle w:val="Body"/>
              <w:spacing w:after="60" w:before="40"/>
              <w:jc w:val="left"/>
            </w:pPr>
            <w:r>
              <w:rPr>
                <w:sz w:val="16"/>
              </w:rPr>
              <w:t>Approved spec</w:t>
            </w:r>
          </w:p>
        </w:tc>
        <w:tc>
          <w:tcPr>
            <w:tcW w:type="dxa" w:w="2088"/>
            <w:vAlign w:val="center"/>
          </w:tcPr>
          <w:p>
            <w:pPr>
              <w:pStyle w:val="Body"/>
              <w:spacing w:after="60" w:before="40"/>
              <w:jc w:val="left"/>
            </w:pPr>
            <w:r>
              <w:rPr>
                <w:sz w:val="16"/>
              </w:rPr>
              <w:t>Architecture planner</w:t>
            </w:r>
          </w:p>
        </w:tc>
        <w:tc>
          <w:tcPr>
            <w:tcW w:type="dxa" w:w="2592"/>
            <w:vAlign w:val="center"/>
          </w:tcPr>
          <w:p>
            <w:pPr>
              <w:pStyle w:val="Body"/>
              <w:spacing w:after="60" w:before="40"/>
              <w:jc w:val="left"/>
            </w:pPr>
            <w:r>
              <w:rPr>
                <w:sz w:val="16"/>
              </w:rPr>
              <w:t>Propose touched systems, implementation path, migrations, and test plan</w:t>
            </w:r>
          </w:p>
        </w:tc>
        <w:tc>
          <w:tcPr>
            <w:tcW w:type="dxa" w:w="1655"/>
            <w:vAlign w:val="center"/>
          </w:tcPr>
          <w:p>
            <w:pPr>
              <w:pStyle w:val="Body"/>
              <w:spacing w:after="60" w:before="40"/>
              <w:jc w:val="left"/>
            </w:pPr>
            <w:r>
              <w:rPr>
                <w:sz w:val="16"/>
              </w:rPr>
              <w:t>Plan approval for medium/high risk</w:t>
            </w:r>
          </w:p>
        </w:tc>
        <w:tc>
          <w:tcPr>
            <w:tcW w:type="dxa" w:w="1368"/>
            <w:vAlign w:val="center"/>
          </w:tcPr>
          <w:p>
            <w:pPr>
              <w:pStyle w:val="Body"/>
              <w:spacing w:after="60" w:before="40"/>
              <w:jc w:val="left"/>
            </w:pPr>
            <w:r>
              <w:rPr>
                <w:sz w:val="16"/>
              </w:rPr>
              <w:t>Plan acceptance; review churn</w:t>
            </w:r>
          </w:p>
        </w:tc>
      </w:tr>
      <w:tr>
        <w:tc>
          <w:tcPr>
            <w:tcW w:type="dxa" w:w="1800"/>
            <w:vAlign w:val="center"/>
          </w:tcPr>
          <w:p>
            <w:pPr>
              <w:pStyle w:val="Body"/>
              <w:spacing w:after="60" w:before="40"/>
              <w:jc w:val="left"/>
            </w:pPr>
            <w:r>
              <w:rPr>
                <w:sz w:val="16"/>
              </w:rPr>
              <w:t>Build orchestration</w:t>
            </w:r>
          </w:p>
        </w:tc>
        <w:tc>
          <w:tcPr>
            <w:tcW w:type="dxa" w:w="1584"/>
            <w:vAlign w:val="center"/>
          </w:tcPr>
          <w:p>
            <w:pPr>
              <w:pStyle w:val="Body"/>
              <w:spacing w:after="60" w:before="40"/>
              <w:jc w:val="left"/>
            </w:pPr>
            <w:r>
              <w:rPr>
                <w:sz w:val="16"/>
              </w:rPr>
              <w:t>Approved technical plan</w:t>
            </w:r>
          </w:p>
        </w:tc>
        <w:tc>
          <w:tcPr>
            <w:tcW w:type="dxa" w:w="2088"/>
            <w:vAlign w:val="center"/>
          </w:tcPr>
          <w:p>
            <w:pPr>
              <w:pStyle w:val="Body"/>
              <w:spacing w:after="60" w:before="40"/>
              <w:jc w:val="left"/>
            </w:pPr>
            <w:r>
              <w:rPr>
                <w:sz w:val="16"/>
              </w:rPr>
              <w:t>Builder orchestrator</w:t>
            </w:r>
          </w:p>
        </w:tc>
        <w:tc>
          <w:tcPr>
            <w:tcW w:type="dxa" w:w="2592"/>
            <w:vAlign w:val="center"/>
          </w:tcPr>
          <w:p>
            <w:pPr>
              <w:pStyle w:val="Body"/>
              <w:spacing w:after="60" w:before="40"/>
              <w:jc w:val="left"/>
            </w:pPr>
            <w:r>
              <w:rPr>
                <w:sz w:val="16"/>
              </w:rPr>
              <w:t>Create branch, invoke coding agent, open PR, link CI and work item</w:t>
            </w:r>
          </w:p>
        </w:tc>
        <w:tc>
          <w:tcPr>
            <w:tcW w:type="dxa" w:w="1655"/>
            <w:vAlign w:val="center"/>
          </w:tcPr>
          <w:p>
            <w:pPr>
              <w:pStyle w:val="Body"/>
              <w:spacing w:after="60" w:before="40"/>
              <w:jc w:val="left"/>
            </w:pPr>
            <w:r>
              <w:rPr>
                <w:sz w:val="16"/>
              </w:rPr>
              <w:t>No direct merge</w:t>
            </w:r>
          </w:p>
        </w:tc>
        <w:tc>
          <w:tcPr>
            <w:tcW w:type="dxa" w:w="1368"/>
            <w:vAlign w:val="center"/>
          </w:tcPr>
          <w:p>
            <w:pPr>
              <w:pStyle w:val="Body"/>
              <w:spacing w:after="60" w:before="40"/>
              <w:jc w:val="left"/>
            </w:pPr>
            <w:r>
              <w:rPr>
                <w:sz w:val="16"/>
              </w:rPr>
              <w:t>Spec-to-PR time; PR completeness</w:t>
            </w:r>
          </w:p>
        </w:tc>
      </w:tr>
      <w:tr>
        <w:tc>
          <w:tcPr>
            <w:tcW w:type="dxa" w:w="1800"/>
            <w:vAlign w:val="center"/>
          </w:tcPr>
          <w:p>
            <w:pPr>
              <w:pStyle w:val="Body"/>
              <w:spacing w:after="60" w:before="40"/>
              <w:jc w:val="left"/>
            </w:pPr>
            <w:r>
              <w:rPr>
                <w:sz w:val="16"/>
              </w:rPr>
              <w:t>Eval gating</w:t>
            </w:r>
          </w:p>
        </w:tc>
        <w:tc>
          <w:tcPr>
            <w:tcW w:type="dxa" w:w="1584"/>
            <w:vAlign w:val="center"/>
          </w:tcPr>
          <w:p>
            <w:pPr>
              <w:pStyle w:val="Body"/>
              <w:spacing w:after="60" w:before="40"/>
              <w:jc w:val="left"/>
            </w:pPr>
            <w:r>
              <w:rPr>
                <w:sz w:val="16"/>
              </w:rPr>
              <w:t>New PR or AI behavior change</w:t>
            </w:r>
          </w:p>
        </w:tc>
        <w:tc>
          <w:tcPr>
            <w:tcW w:type="dxa" w:w="2088"/>
            <w:vAlign w:val="center"/>
          </w:tcPr>
          <w:p>
            <w:pPr>
              <w:pStyle w:val="Body"/>
              <w:spacing w:after="60" w:before="40"/>
              <w:jc w:val="left"/>
            </w:pPr>
            <w:r>
              <w:rPr>
                <w:sz w:val="16"/>
              </w:rPr>
              <w:t>QA &amp; evals</w:t>
            </w:r>
          </w:p>
        </w:tc>
        <w:tc>
          <w:tcPr>
            <w:tcW w:type="dxa" w:w="2592"/>
            <w:vAlign w:val="center"/>
          </w:tcPr>
          <w:p>
            <w:pPr>
              <w:pStyle w:val="Body"/>
              <w:spacing w:after="60" w:before="40"/>
              <w:jc w:val="left"/>
            </w:pPr>
            <w:r>
              <w:rPr>
                <w:sz w:val="16"/>
              </w:rPr>
              <w:t>Run tests, generate regression cases, compare prompt/model variants, block bad changes</w:t>
            </w:r>
          </w:p>
        </w:tc>
        <w:tc>
          <w:tcPr>
            <w:tcW w:type="dxa" w:w="1655"/>
            <w:vAlign w:val="center"/>
          </w:tcPr>
          <w:p>
            <w:pPr>
              <w:pStyle w:val="Body"/>
              <w:spacing w:after="60" w:before="40"/>
              <w:jc w:val="left"/>
            </w:pPr>
            <w:r>
              <w:rPr>
                <w:sz w:val="16"/>
              </w:rPr>
              <w:t>Gate overrides require approval</w:t>
            </w:r>
          </w:p>
        </w:tc>
        <w:tc>
          <w:tcPr>
            <w:tcW w:type="dxa" w:w="1368"/>
            <w:vAlign w:val="center"/>
          </w:tcPr>
          <w:p>
            <w:pPr>
              <w:pStyle w:val="Body"/>
              <w:spacing w:after="60" w:before="40"/>
              <w:jc w:val="left"/>
            </w:pPr>
            <w:r>
              <w:rPr>
                <w:sz w:val="16"/>
              </w:rPr>
              <w:t>Eval pass rate; escaped regressions</w:t>
            </w:r>
          </w:p>
        </w:tc>
      </w:tr>
      <w:tr>
        <w:tc>
          <w:tcPr>
            <w:tcW w:type="dxa" w:w="1800"/>
            <w:vAlign w:val="center"/>
          </w:tcPr>
          <w:p>
            <w:pPr>
              <w:pStyle w:val="Body"/>
              <w:spacing w:after="60" w:before="40"/>
              <w:jc w:val="left"/>
            </w:pPr>
            <w:r>
              <w:rPr>
                <w:sz w:val="16"/>
              </w:rPr>
              <w:t>Release preparation</w:t>
            </w:r>
          </w:p>
        </w:tc>
        <w:tc>
          <w:tcPr>
            <w:tcW w:type="dxa" w:w="1584"/>
            <w:vAlign w:val="center"/>
          </w:tcPr>
          <w:p>
            <w:pPr>
              <w:pStyle w:val="Body"/>
              <w:spacing w:after="60" w:before="40"/>
              <w:jc w:val="left"/>
            </w:pPr>
            <w:r>
              <w:rPr>
                <w:sz w:val="16"/>
              </w:rPr>
              <w:t>PR approved and ready to ship</w:t>
            </w:r>
          </w:p>
        </w:tc>
        <w:tc>
          <w:tcPr>
            <w:tcW w:type="dxa" w:w="2088"/>
            <w:vAlign w:val="center"/>
          </w:tcPr>
          <w:p>
            <w:pPr>
              <w:pStyle w:val="Body"/>
              <w:spacing w:after="60" w:before="40"/>
              <w:jc w:val="left"/>
            </w:pPr>
            <w:r>
              <w:rPr>
                <w:sz w:val="16"/>
              </w:rPr>
              <w:t>Review &amp; release</w:t>
            </w:r>
          </w:p>
        </w:tc>
        <w:tc>
          <w:tcPr>
            <w:tcW w:type="dxa" w:w="2592"/>
            <w:vAlign w:val="center"/>
          </w:tcPr>
          <w:p>
            <w:pPr>
              <w:pStyle w:val="Body"/>
              <w:spacing w:after="60" w:before="40"/>
              <w:jc w:val="left"/>
            </w:pPr>
            <w:r>
              <w:rPr>
                <w:sz w:val="16"/>
              </w:rPr>
              <w:t>Assemble release brief, rollout checklist, summaries, and deployment metadata</w:t>
            </w:r>
          </w:p>
        </w:tc>
        <w:tc>
          <w:tcPr>
            <w:tcW w:type="dxa" w:w="1655"/>
            <w:vAlign w:val="center"/>
          </w:tcPr>
          <w:p>
            <w:pPr>
              <w:pStyle w:val="Body"/>
              <w:spacing w:after="60" w:before="40"/>
              <w:jc w:val="left"/>
            </w:pPr>
            <w:r>
              <w:rPr>
                <w:sz w:val="16"/>
              </w:rPr>
              <w:t>Deploy approval required</w:t>
            </w:r>
          </w:p>
        </w:tc>
        <w:tc>
          <w:tcPr>
            <w:tcW w:type="dxa" w:w="1368"/>
            <w:vAlign w:val="center"/>
          </w:tcPr>
          <w:p>
            <w:pPr>
              <w:pStyle w:val="Body"/>
              <w:spacing w:after="60" w:before="40"/>
              <w:jc w:val="left"/>
            </w:pPr>
            <w:r>
              <w:rPr>
                <w:sz w:val="16"/>
              </w:rPr>
              <w:t>Release prep time; rollback readiness</w:t>
            </w:r>
          </w:p>
        </w:tc>
      </w:tr>
      <w:tr>
        <w:tc>
          <w:tcPr>
            <w:tcW w:type="dxa" w:w="1800"/>
            <w:vAlign w:val="center"/>
          </w:tcPr>
          <w:p>
            <w:pPr>
              <w:pStyle w:val="Body"/>
              <w:spacing w:after="60" w:before="40"/>
              <w:jc w:val="left"/>
            </w:pPr>
            <w:r>
              <w:rPr>
                <w:sz w:val="16"/>
              </w:rPr>
              <w:t>Incident learning</w:t>
            </w:r>
          </w:p>
        </w:tc>
        <w:tc>
          <w:tcPr>
            <w:tcW w:type="dxa" w:w="1584"/>
            <w:vAlign w:val="center"/>
          </w:tcPr>
          <w:p>
            <w:pPr>
              <w:pStyle w:val="Body"/>
              <w:spacing w:after="60" w:before="40"/>
              <w:jc w:val="left"/>
            </w:pPr>
            <w:r>
              <w:rPr>
                <w:sz w:val="16"/>
              </w:rPr>
              <w:t>Incident or repeated failure</w:t>
            </w:r>
          </w:p>
        </w:tc>
        <w:tc>
          <w:tcPr>
            <w:tcW w:type="dxa" w:w="2088"/>
            <w:vAlign w:val="center"/>
          </w:tcPr>
          <w:p>
            <w:pPr>
              <w:pStyle w:val="Body"/>
              <w:spacing w:after="60" w:before="40"/>
              <w:jc w:val="left"/>
            </w:pPr>
            <w:r>
              <w:rPr>
                <w:sz w:val="16"/>
              </w:rPr>
              <w:t>Incident &amp; feedback</w:t>
            </w:r>
          </w:p>
        </w:tc>
        <w:tc>
          <w:tcPr>
            <w:tcW w:type="dxa" w:w="2592"/>
            <w:vAlign w:val="center"/>
          </w:tcPr>
          <w:p>
            <w:pPr>
              <w:pStyle w:val="Body"/>
              <w:spacing w:after="60" w:before="40"/>
              <w:jc w:val="left"/>
            </w:pPr>
            <w:r>
              <w:rPr>
                <w:sz w:val="16"/>
              </w:rPr>
              <w:t>Draft RCA, link recent changes, create regression cases, open follow-up work items</w:t>
            </w:r>
          </w:p>
        </w:tc>
        <w:tc>
          <w:tcPr>
            <w:tcW w:type="dxa" w:w="1655"/>
            <w:vAlign w:val="center"/>
          </w:tcPr>
          <w:p>
            <w:pPr>
              <w:pStyle w:val="Body"/>
              <w:spacing w:after="60" w:before="40"/>
              <w:jc w:val="left"/>
            </w:pPr>
            <w:r>
              <w:rPr>
                <w:sz w:val="16"/>
              </w:rPr>
              <w:t>External comms require approval</w:t>
            </w:r>
          </w:p>
        </w:tc>
        <w:tc>
          <w:tcPr>
            <w:tcW w:type="dxa" w:w="1368"/>
            <w:vAlign w:val="center"/>
          </w:tcPr>
          <w:p>
            <w:pPr>
              <w:pStyle w:val="Body"/>
              <w:spacing w:after="60" w:before="40"/>
              <w:jc w:val="left"/>
            </w:pPr>
            <w:r>
              <w:rPr>
                <w:sz w:val="16"/>
              </w:rPr>
              <w:t>Incident-to-RCA time; learning-loop closure</w:t>
            </w:r>
          </w:p>
        </w:tc>
      </w:tr>
    </w:tbl>
    <w:p/>
    <w:p>
      <w:pPr>
        <w:pStyle w:val="RuhHeading2"/>
        <w:keepNext/>
        <w:spacing w:before="200" w:after="120"/>
      </w:pPr>
      <w:r>
        <w:t>6.1 MVP workflow slice</w:t>
      </w:r>
    </w:p>
    <w:p>
      <w:pPr>
        <w:pStyle w:val="Bullet1"/>
        <w:spacing w:after="60"/>
        <w:ind w:left="288"/>
      </w:pPr>
      <w:r>
        <w:t>Start with intake, spec generation, build orchestration, QA/evals, and release prep on one product team.</w:t>
      </w:r>
    </w:p>
    <w:p>
      <w:pPr>
        <w:pStyle w:val="Bullet1"/>
        <w:spacing w:after="60"/>
        <w:ind w:left="288"/>
      </w:pPr>
      <w:r>
        <w:t>Keep architecture planner in the MVP for non-trivial changes because it creates the context boundary for builder workflows.</w:t>
      </w:r>
    </w:p>
    <w:p>
      <w:pPr>
        <w:pStyle w:val="Bullet1"/>
        <w:spacing w:after="60"/>
        <w:ind w:left="288"/>
      </w:pPr>
      <w:r>
        <w:t>Bring incident &amp; feedback online after the first shipping loop so real failures can generate regression cases.</w:t>
      </w:r>
    </w:p>
    <w:p>
      <w:pPr>
        <w:pStyle w:val="RuhHeading1"/>
        <w:keepNext/>
        <w:spacing w:before="320" w:after="160"/>
      </w:pPr>
      <w:r>
        <w:t>7. Connector and capability profile</w:t>
      </w:r>
    </w:p>
    <w:p>
      <w:pPr>
        <w:pStyle w:val="Body"/>
        <w:spacing w:after="120" w:before="0" w:line="276" w:lineRule="auto"/>
      </w:pPr>
      <w:r>
        <w:t>The pack binds to normal software-delivery capabilities rather than hardcoding one vendor stack. A tenant overlay chooses the actual providers and approval rules.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2541"/>
        <w:gridCol w:w="2541"/>
        <w:gridCol w:w="2541"/>
        <w:gridCol w:w="2541"/>
      </w:tblGrid>
      <w:tr>
        <w:tc>
          <w:tcPr>
            <w:tcW w:type="dxa" w:w="1944"/>
            <w:vAlign w:val="center"/>
            <w:shd w:fill="DDE8F2" w:val="clear" w:color="auto"/>
          </w:tcPr>
          <w:p>
            <w:pPr>
              <w:pStyle w:val="Body"/>
              <w:jc w:val="center"/>
            </w:pPr>
            <w:r>
              <w:rPr>
                <w:b/>
                <w:sz w:val="16"/>
              </w:rPr>
              <w:t>Capability group</w:t>
            </w:r>
          </w:p>
        </w:tc>
        <w:tc>
          <w:tcPr>
            <w:tcW w:type="dxa" w:w="1007"/>
            <w:vAlign w:val="center"/>
            <w:shd w:fill="DDE8F2" w:val="clear" w:color="auto"/>
          </w:tcPr>
          <w:p>
            <w:pPr>
              <w:pStyle w:val="Body"/>
              <w:jc w:val="center"/>
            </w:pPr>
            <w:r>
              <w:rPr>
                <w:b/>
                <w:sz w:val="16"/>
              </w:rPr>
              <w:t>Required?</w:t>
            </w:r>
          </w:p>
        </w:tc>
        <w:tc>
          <w:tcPr>
            <w:tcW w:type="dxa" w:w="2808"/>
            <w:vAlign w:val="center"/>
            <w:shd w:fill="DDE8F2" w:val="clear" w:color="auto"/>
          </w:tcPr>
          <w:p>
            <w:pPr>
              <w:pStyle w:val="Body"/>
              <w:jc w:val="center"/>
            </w:pPr>
            <w:r>
              <w:rPr>
                <w:b/>
                <w:sz w:val="16"/>
              </w:rPr>
              <w:t>Typical providers</w:t>
            </w:r>
          </w:p>
        </w:tc>
        <w:tc>
          <w:tcPr>
            <w:tcW w:type="dxa" w:w="3671"/>
            <w:vAlign w:val="center"/>
            <w:shd w:fill="DDE8F2" w:val="clear" w:color="auto"/>
          </w:tcPr>
          <w:p>
            <w:pPr>
              <w:pStyle w:val="Body"/>
              <w:jc w:val="center"/>
            </w:pPr>
            <w:r>
              <w:rPr>
                <w:b/>
                <w:sz w:val="16"/>
              </w:rPr>
              <w:t>Pack usage</w:t>
            </w:r>
          </w:p>
        </w:tc>
      </w:tr>
      <w:tr>
        <w:tc>
          <w:tcPr>
            <w:tcW w:type="dxa" w:w="1944"/>
            <w:vAlign w:val="center"/>
          </w:tcPr>
          <w:p>
            <w:pPr>
              <w:pStyle w:val="Body"/>
              <w:spacing w:after="60" w:before="40"/>
              <w:jc w:val="left"/>
            </w:pPr>
            <w:r>
              <w:rPr>
                <w:sz w:val="16"/>
              </w:rPr>
              <w:t>issue.read/write</w:t>
            </w:r>
          </w:p>
        </w:tc>
        <w:tc>
          <w:tcPr>
            <w:tcW w:type="dxa" w:w="1007"/>
            <w:vAlign w:val="center"/>
          </w:tcPr>
          <w:p>
            <w:pPr>
              <w:pStyle w:val="Body"/>
              <w:spacing w:after="60" w:before="40"/>
              <w:jc w:val="left"/>
            </w:pPr>
            <w:r>
              <w:rPr>
                <w:sz w:val="16"/>
              </w:rPr>
              <w:t>Yes</w:t>
            </w:r>
          </w:p>
        </w:tc>
        <w:tc>
          <w:tcPr>
            <w:tcW w:type="dxa" w:w="2808"/>
            <w:vAlign w:val="center"/>
          </w:tcPr>
          <w:p>
            <w:pPr>
              <w:pStyle w:val="Body"/>
              <w:spacing w:after="60" w:before="40"/>
              <w:jc w:val="left"/>
            </w:pPr>
            <w:r>
              <w:rPr>
                <w:sz w:val="16"/>
              </w:rPr>
              <w:t>Jira; Linear</w:t>
            </w:r>
          </w:p>
        </w:tc>
        <w:tc>
          <w:tcPr>
            <w:tcW w:type="dxa" w:w="3671"/>
            <w:vAlign w:val="center"/>
          </w:tcPr>
          <w:p>
            <w:pPr>
              <w:pStyle w:val="Body"/>
              <w:spacing w:after="60" w:before="40"/>
              <w:jc w:val="left"/>
            </w:pPr>
            <w:r>
              <w:rPr>
                <w:sz w:val="16"/>
              </w:rPr>
              <w:t>Create and update work items, specs, and follow-up tasks.</w:t>
            </w:r>
          </w:p>
        </w:tc>
      </w:tr>
      <w:tr>
        <w:tc>
          <w:tcPr>
            <w:tcW w:type="dxa" w:w="1944"/>
            <w:vAlign w:val="center"/>
          </w:tcPr>
          <w:p>
            <w:pPr>
              <w:pStyle w:val="Body"/>
              <w:spacing w:after="60" w:before="40"/>
              <w:jc w:val="left"/>
            </w:pPr>
            <w:r>
              <w:rPr>
                <w:sz w:val="16"/>
              </w:rPr>
              <w:t>repo.read/write-limited</w:t>
            </w:r>
          </w:p>
        </w:tc>
        <w:tc>
          <w:tcPr>
            <w:tcW w:type="dxa" w:w="1007"/>
            <w:vAlign w:val="center"/>
          </w:tcPr>
          <w:p>
            <w:pPr>
              <w:pStyle w:val="Body"/>
              <w:spacing w:after="60" w:before="40"/>
              <w:jc w:val="left"/>
            </w:pPr>
            <w:r>
              <w:rPr>
                <w:sz w:val="16"/>
              </w:rPr>
              <w:t>Yes</w:t>
            </w:r>
          </w:p>
        </w:tc>
        <w:tc>
          <w:tcPr>
            <w:tcW w:type="dxa" w:w="2808"/>
            <w:vAlign w:val="center"/>
          </w:tcPr>
          <w:p>
            <w:pPr>
              <w:pStyle w:val="Body"/>
              <w:spacing w:after="60" w:before="40"/>
              <w:jc w:val="left"/>
            </w:pPr>
            <w:r>
              <w:rPr>
                <w:sz w:val="16"/>
              </w:rPr>
              <w:t>GitHub; GitLab</w:t>
            </w:r>
          </w:p>
        </w:tc>
        <w:tc>
          <w:tcPr>
            <w:tcW w:type="dxa" w:w="3671"/>
            <w:vAlign w:val="center"/>
          </w:tcPr>
          <w:p>
            <w:pPr>
              <w:pStyle w:val="Body"/>
              <w:spacing w:after="60" w:before="40"/>
              <w:jc w:val="left"/>
            </w:pPr>
            <w:r>
              <w:rPr>
                <w:sz w:val="16"/>
              </w:rPr>
              <w:t>Read code context, create branches, and open PRs under policy.</w:t>
            </w:r>
          </w:p>
        </w:tc>
      </w:tr>
      <w:tr>
        <w:tc>
          <w:tcPr>
            <w:tcW w:type="dxa" w:w="1944"/>
            <w:vAlign w:val="center"/>
          </w:tcPr>
          <w:p>
            <w:pPr>
              <w:pStyle w:val="Body"/>
              <w:spacing w:after="60" w:before="40"/>
              <w:jc w:val="left"/>
            </w:pPr>
            <w:r>
              <w:rPr>
                <w:sz w:val="16"/>
              </w:rPr>
              <w:t>docs.read/write-draft</w:t>
            </w:r>
          </w:p>
        </w:tc>
        <w:tc>
          <w:tcPr>
            <w:tcW w:type="dxa" w:w="1007"/>
            <w:vAlign w:val="center"/>
          </w:tcPr>
          <w:p>
            <w:pPr>
              <w:pStyle w:val="Body"/>
              <w:spacing w:after="60" w:before="40"/>
              <w:jc w:val="left"/>
            </w:pPr>
            <w:r>
              <w:rPr>
                <w:sz w:val="16"/>
              </w:rPr>
              <w:t>Yes</w:t>
            </w:r>
          </w:p>
        </w:tc>
        <w:tc>
          <w:tcPr>
            <w:tcW w:type="dxa" w:w="2808"/>
            <w:vAlign w:val="center"/>
          </w:tcPr>
          <w:p>
            <w:pPr>
              <w:pStyle w:val="Body"/>
              <w:spacing w:after="60" w:before="40"/>
              <w:jc w:val="left"/>
            </w:pPr>
            <w:r>
              <w:rPr>
                <w:sz w:val="16"/>
              </w:rPr>
              <w:t>Notion; Confluence; Google Docs; internal docs</w:t>
            </w:r>
          </w:p>
        </w:tc>
        <w:tc>
          <w:tcPr>
            <w:tcW w:type="dxa" w:w="3671"/>
            <w:vAlign w:val="center"/>
          </w:tcPr>
          <w:p>
            <w:pPr>
              <w:pStyle w:val="Body"/>
              <w:spacing w:after="60" w:before="40"/>
              <w:jc w:val="left"/>
            </w:pPr>
            <w:r>
              <w:rPr>
                <w:sz w:val="16"/>
              </w:rPr>
              <w:t>Draft spec packages, plans, release notes, and RCAs.</w:t>
            </w:r>
          </w:p>
        </w:tc>
      </w:tr>
      <w:tr>
        <w:tc>
          <w:tcPr>
            <w:tcW w:type="dxa" w:w="1944"/>
            <w:vAlign w:val="center"/>
          </w:tcPr>
          <w:p>
            <w:pPr>
              <w:pStyle w:val="Body"/>
              <w:spacing w:after="60" w:before="40"/>
              <w:jc w:val="left"/>
            </w:pPr>
            <w:r>
              <w:rPr>
                <w:sz w:val="16"/>
              </w:rPr>
              <w:t>messaging.read/draft</w:t>
            </w:r>
          </w:p>
        </w:tc>
        <w:tc>
          <w:tcPr>
            <w:tcW w:type="dxa" w:w="1007"/>
            <w:vAlign w:val="center"/>
          </w:tcPr>
          <w:p>
            <w:pPr>
              <w:pStyle w:val="Body"/>
              <w:spacing w:after="60" w:before="40"/>
              <w:jc w:val="left"/>
            </w:pPr>
            <w:r>
              <w:rPr>
                <w:sz w:val="16"/>
              </w:rPr>
              <w:t>Yes</w:t>
            </w:r>
          </w:p>
        </w:tc>
        <w:tc>
          <w:tcPr>
            <w:tcW w:type="dxa" w:w="2808"/>
            <w:vAlign w:val="center"/>
          </w:tcPr>
          <w:p>
            <w:pPr>
              <w:pStyle w:val="Body"/>
              <w:spacing w:after="60" w:before="40"/>
              <w:jc w:val="left"/>
            </w:pPr>
            <w:r>
              <w:rPr>
                <w:sz w:val="16"/>
              </w:rPr>
              <w:t>Slack; Teams; email</w:t>
            </w:r>
          </w:p>
        </w:tc>
        <w:tc>
          <w:tcPr>
            <w:tcW w:type="dxa" w:w="3671"/>
            <w:vAlign w:val="center"/>
          </w:tcPr>
          <w:p>
            <w:pPr>
              <w:pStyle w:val="Body"/>
              <w:spacing w:after="60" w:before="40"/>
              <w:jc w:val="left"/>
            </w:pPr>
            <w:r>
              <w:rPr>
                <w:sz w:val="16"/>
              </w:rPr>
              <w:t>Capture inbound signals and prepare summaries or internal notifications.</w:t>
            </w:r>
          </w:p>
        </w:tc>
      </w:tr>
      <w:tr>
        <w:tc>
          <w:tcPr>
            <w:tcW w:type="dxa" w:w="1944"/>
            <w:vAlign w:val="center"/>
          </w:tcPr>
          <w:p>
            <w:pPr>
              <w:pStyle w:val="Body"/>
              <w:spacing w:after="60" w:before="40"/>
              <w:jc w:val="left"/>
            </w:pPr>
            <w:r>
              <w:rPr>
                <w:sz w:val="16"/>
              </w:rPr>
              <w:t>ci.trigger/read</w:t>
            </w:r>
          </w:p>
        </w:tc>
        <w:tc>
          <w:tcPr>
            <w:tcW w:type="dxa" w:w="1007"/>
            <w:vAlign w:val="center"/>
          </w:tcPr>
          <w:p>
            <w:pPr>
              <w:pStyle w:val="Body"/>
              <w:spacing w:after="60" w:before="40"/>
              <w:jc w:val="left"/>
            </w:pPr>
            <w:r>
              <w:rPr>
                <w:sz w:val="16"/>
              </w:rPr>
              <w:t>Yes</w:t>
            </w:r>
          </w:p>
        </w:tc>
        <w:tc>
          <w:tcPr>
            <w:tcW w:type="dxa" w:w="2808"/>
            <w:vAlign w:val="center"/>
          </w:tcPr>
          <w:p>
            <w:pPr>
              <w:pStyle w:val="Body"/>
              <w:spacing w:after="60" w:before="40"/>
              <w:jc w:val="left"/>
            </w:pPr>
            <w:r>
              <w:rPr>
                <w:sz w:val="16"/>
              </w:rPr>
              <w:t>GitHub Actions; GitLab CI; Buildkite</w:t>
            </w:r>
          </w:p>
        </w:tc>
        <w:tc>
          <w:tcPr>
            <w:tcW w:type="dxa" w:w="3671"/>
            <w:vAlign w:val="center"/>
          </w:tcPr>
          <w:p>
            <w:pPr>
              <w:pStyle w:val="Body"/>
              <w:spacing w:after="60" w:before="40"/>
              <w:jc w:val="left"/>
            </w:pPr>
            <w:r>
              <w:rPr>
                <w:sz w:val="16"/>
              </w:rPr>
              <w:t>Run tests, evals, and collect build status.</w:t>
            </w:r>
          </w:p>
        </w:tc>
      </w:tr>
      <w:tr>
        <w:tc>
          <w:tcPr>
            <w:tcW w:type="dxa" w:w="1944"/>
            <w:vAlign w:val="center"/>
          </w:tcPr>
          <w:p>
            <w:pPr>
              <w:pStyle w:val="Body"/>
              <w:spacing w:after="60" w:before="40"/>
              <w:jc w:val="left"/>
            </w:pPr>
            <w:r>
              <w:rPr>
                <w:sz w:val="16"/>
              </w:rPr>
              <w:t>observability.read</w:t>
            </w:r>
          </w:p>
        </w:tc>
        <w:tc>
          <w:tcPr>
            <w:tcW w:type="dxa" w:w="1007"/>
            <w:vAlign w:val="center"/>
          </w:tcPr>
          <w:p>
            <w:pPr>
              <w:pStyle w:val="Body"/>
              <w:spacing w:after="60" w:before="40"/>
              <w:jc w:val="left"/>
            </w:pPr>
            <w:r>
              <w:rPr>
                <w:sz w:val="16"/>
              </w:rPr>
              <w:t>Recommended</w:t>
            </w:r>
          </w:p>
        </w:tc>
        <w:tc>
          <w:tcPr>
            <w:tcW w:type="dxa" w:w="2808"/>
            <w:vAlign w:val="center"/>
          </w:tcPr>
          <w:p>
            <w:pPr>
              <w:pStyle w:val="Body"/>
              <w:spacing w:after="60" w:before="40"/>
              <w:jc w:val="left"/>
            </w:pPr>
            <w:r>
              <w:rPr>
                <w:sz w:val="16"/>
              </w:rPr>
              <w:t>Sentry; Datadog; New Relic; PagerDuty</w:t>
            </w:r>
          </w:p>
        </w:tc>
        <w:tc>
          <w:tcPr>
            <w:tcW w:type="dxa" w:w="3671"/>
            <w:vAlign w:val="center"/>
          </w:tcPr>
          <w:p>
            <w:pPr>
              <w:pStyle w:val="Body"/>
              <w:spacing w:after="60" w:before="40"/>
              <w:jc w:val="left"/>
            </w:pPr>
            <w:r>
              <w:rPr>
                <w:sz w:val="16"/>
              </w:rPr>
              <w:t>Enrich triage, RCA, and release decisions.</w:t>
            </w:r>
          </w:p>
        </w:tc>
      </w:tr>
      <w:tr>
        <w:tc>
          <w:tcPr>
            <w:tcW w:type="dxa" w:w="1944"/>
            <w:vAlign w:val="center"/>
          </w:tcPr>
          <w:p>
            <w:pPr>
              <w:pStyle w:val="Body"/>
              <w:spacing w:after="60" w:before="40"/>
              <w:jc w:val="left"/>
            </w:pPr>
            <w:r>
              <w:rPr>
                <w:sz w:val="16"/>
              </w:rPr>
              <w:t>eval.store.read/write</w:t>
            </w:r>
          </w:p>
        </w:tc>
        <w:tc>
          <w:tcPr>
            <w:tcW w:type="dxa" w:w="1007"/>
            <w:vAlign w:val="center"/>
          </w:tcPr>
          <w:p>
            <w:pPr>
              <w:pStyle w:val="Body"/>
              <w:spacing w:after="60" w:before="40"/>
              <w:jc w:val="left"/>
            </w:pPr>
            <w:r>
              <w:rPr>
                <w:sz w:val="16"/>
              </w:rPr>
              <w:t>Yes</w:t>
            </w:r>
          </w:p>
        </w:tc>
        <w:tc>
          <w:tcPr>
            <w:tcW w:type="dxa" w:w="2808"/>
            <w:vAlign w:val="center"/>
          </w:tcPr>
          <w:p>
            <w:pPr>
              <w:pStyle w:val="Body"/>
              <w:spacing w:after="60" w:before="40"/>
              <w:jc w:val="left"/>
            </w:pPr>
            <w:r>
              <w:rPr>
                <w:sz w:val="16"/>
              </w:rPr>
              <w:t>Internal eval registry; vendor eval tooling</w:t>
            </w:r>
          </w:p>
        </w:tc>
        <w:tc>
          <w:tcPr>
            <w:tcW w:type="dxa" w:w="3671"/>
            <w:vAlign w:val="center"/>
          </w:tcPr>
          <w:p>
            <w:pPr>
              <w:pStyle w:val="Body"/>
              <w:spacing w:after="60" w:before="40"/>
              <w:jc w:val="left"/>
            </w:pPr>
            <w:r>
              <w:rPr>
                <w:sz w:val="16"/>
              </w:rPr>
              <w:t>Store regression cases and gate rules.</w:t>
            </w:r>
          </w:p>
        </w:tc>
      </w:tr>
      <w:tr>
        <w:tc>
          <w:tcPr>
            <w:tcW w:type="dxa" w:w="1944"/>
            <w:vAlign w:val="center"/>
          </w:tcPr>
          <w:p>
            <w:pPr>
              <w:pStyle w:val="Body"/>
              <w:spacing w:after="60" w:before="40"/>
              <w:jc w:val="left"/>
            </w:pPr>
            <w:r>
              <w:rPr>
                <w:sz w:val="16"/>
              </w:rPr>
              <w:t>feature-flag.read</w:t>
            </w:r>
          </w:p>
        </w:tc>
        <w:tc>
          <w:tcPr>
            <w:tcW w:type="dxa" w:w="1007"/>
            <w:vAlign w:val="center"/>
          </w:tcPr>
          <w:p>
            <w:pPr>
              <w:pStyle w:val="Body"/>
              <w:spacing w:after="60" w:before="40"/>
              <w:jc w:val="left"/>
            </w:pPr>
            <w:r>
              <w:rPr>
                <w:sz w:val="16"/>
              </w:rPr>
              <w:t>Optional</w:t>
            </w:r>
          </w:p>
        </w:tc>
        <w:tc>
          <w:tcPr>
            <w:tcW w:type="dxa" w:w="2808"/>
            <w:vAlign w:val="center"/>
          </w:tcPr>
          <w:p>
            <w:pPr>
              <w:pStyle w:val="Body"/>
              <w:spacing w:after="60" w:before="40"/>
              <w:jc w:val="left"/>
            </w:pPr>
            <w:r>
              <w:rPr>
                <w:sz w:val="16"/>
              </w:rPr>
              <w:t>LaunchDarkly; Statsig; internal config</w:t>
            </w:r>
          </w:p>
        </w:tc>
        <w:tc>
          <w:tcPr>
            <w:tcW w:type="dxa" w:w="3671"/>
            <w:vAlign w:val="center"/>
          </w:tcPr>
          <w:p>
            <w:pPr>
              <w:pStyle w:val="Body"/>
              <w:spacing w:after="60" w:before="40"/>
              <w:jc w:val="left"/>
            </w:pPr>
            <w:r>
              <w:rPr>
                <w:sz w:val="16"/>
              </w:rPr>
              <w:t>Prepare rollout plans and blast-radius checks.</w:t>
            </w:r>
          </w:p>
        </w:tc>
      </w:tr>
      <w:tr>
        <w:tc>
          <w:tcPr>
            <w:tcW w:type="dxa" w:w="1944"/>
            <w:vAlign w:val="center"/>
          </w:tcPr>
          <w:p>
            <w:pPr>
              <w:pStyle w:val="Body"/>
              <w:spacing w:after="60" w:before="40"/>
              <w:jc w:val="left"/>
            </w:pPr>
            <w:r>
              <w:rPr>
                <w:sz w:val="16"/>
              </w:rPr>
              <w:t>model-config.read</w:t>
            </w:r>
          </w:p>
        </w:tc>
        <w:tc>
          <w:tcPr>
            <w:tcW w:type="dxa" w:w="1007"/>
            <w:vAlign w:val="center"/>
          </w:tcPr>
          <w:p>
            <w:pPr>
              <w:pStyle w:val="Body"/>
              <w:spacing w:after="60" w:before="40"/>
              <w:jc w:val="left"/>
            </w:pPr>
            <w:r>
              <w:rPr>
                <w:sz w:val="16"/>
              </w:rPr>
              <w:t>Recommended</w:t>
            </w:r>
          </w:p>
        </w:tc>
        <w:tc>
          <w:tcPr>
            <w:tcW w:type="dxa" w:w="2808"/>
            <w:vAlign w:val="center"/>
          </w:tcPr>
          <w:p>
            <w:pPr>
              <w:pStyle w:val="Body"/>
              <w:spacing w:after="60" w:before="40"/>
              <w:jc w:val="left"/>
            </w:pPr>
            <w:r>
              <w:rPr>
                <w:sz w:val="16"/>
              </w:rPr>
              <w:t>Prompt registry; config repo; gateway config</w:t>
            </w:r>
          </w:p>
        </w:tc>
        <w:tc>
          <w:tcPr>
            <w:tcW w:type="dxa" w:w="3671"/>
            <w:vAlign w:val="center"/>
          </w:tcPr>
          <w:p>
            <w:pPr>
              <w:pStyle w:val="Body"/>
              <w:spacing w:after="60" w:before="40"/>
              <w:jc w:val="left"/>
            </w:pPr>
            <w:r>
              <w:rPr>
                <w:sz w:val="16"/>
              </w:rPr>
              <w:t>Track prompt/model route changes and required evals.</w:t>
            </w:r>
          </w:p>
        </w:tc>
      </w:tr>
    </w:tbl>
    <w:p/>
    <w:p>
      <w:pPr>
        <w:pStyle w:val="RuhHeading2"/>
        <w:keepNext/>
        <w:spacing w:before="200" w:after="120"/>
      </w:pPr>
      <w:r>
        <w:t>7.1 Minimum provider overlays</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providers:</w:t>
            </w:r>
          </w:p>
          <w:p>
            <w:pPr>
              <w:pStyle w:val="Body"/>
              <w:spacing w:after="0" w:before="0"/>
            </w:pPr>
            <w:r>
              <w:rPr>
                <w:rFonts w:ascii="Courier New" w:hAnsi="Courier New"/>
                <w:sz w:val="17"/>
              </w:rPr>
              <w:t xml:space="preserve">  issueTracker:</w:t>
            </w:r>
          </w:p>
          <w:p>
            <w:pPr>
              <w:pStyle w:val="Body"/>
              <w:spacing w:after="0" w:before="0"/>
            </w:pPr>
            <w:r>
              <w:rPr>
                <w:rFonts w:ascii="Courier New" w:hAnsi="Courier New"/>
                <w:sz w:val="17"/>
              </w:rPr>
              <w:t xml:space="preserve">    adapter: linear | jira</w:t>
            </w:r>
          </w:p>
          <w:p>
            <w:pPr>
              <w:pStyle w:val="Body"/>
              <w:spacing w:after="0" w:before="0"/>
            </w:pPr>
            <w:r>
              <w:rPr>
                <w:rFonts w:ascii="Courier New" w:hAnsi="Courier New"/>
                <w:sz w:val="17"/>
              </w:rPr>
              <w:t xml:space="preserve">  repo:</w:t>
            </w:r>
          </w:p>
          <w:p>
            <w:pPr>
              <w:pStyle w:val="Body"/>
              <w:spacing w:after="0" w:before="0"/>
            </w:pPr>
            <w:r>
              <w:rPr>
                <w:rFonts w:ascii="Courier New" w:hAnsi="Courier New"/>
                <w:sz w:val="17"/>
              </w:rPr>
              <w:t xml:space="preserve">    adapter: github | gitlab</w:t>
            </w:r>
          </w:p>
          <w:p>
            <w:pPr>
              <w:pStyle w:val="Body"/>
              <w:spacing w:after="0" w:before="0"/>
            </w:pPr>
            <w:r>
              <w:rPr>
                <w:rFonts w:ascii="Courier New" w:hAnsi="Courier New"/>
                <w:sz w:val="17"/>
              </w:rPr>
              <w:t xml:space="preserve">  docs:</w:t>
            </w:r>
          </w:p>
          <w:p>
            <w:pPr>
              <w:pStyle w:val="Body"/>
              <w:spacing w:after="0" w:before="0"/>
            </w:pPr>
            <w:r>
              <w:rPr>
                <w:rFonts w:ascii="Courier New" w:hAnsi="Courier New"/>
                <w:sz w:val="17"/>
              </w:rPr>
              <w:t xml:space="preserve">    adapter: notion | confluence | gdocs</w:t>
            </w:r>
          </w:p>
          <w:p>
            <w:pPr>
              <w:pStyle w:val="Body"/>
              <w:spacing w:after="0" w:before="0"/>
            </w:pPr>
            <w:r>
              <w:rPr>
                <w:rFonts w:ascii="Courier New" w:hAnsi="Courier New"/>
                <w:sz w:val="17"/>
              </w:rPr>
              <w:t xml:space="preserve">  messaging:</w:t>
            </w:r>
          </w:p>
          <w:p>
            <w:pPr>
              <w:pStyle w:val="Body"/>
              <w:spacing w:after="0" w:before="0"/>
            </w:pPr>
            <w:r>
              <w:rPr>
                <w:rFonts w:ascii="Courier New" w:hAnsi="Courier New"/>
                <w:sz w:val="17"/>
              </w:rPr>
              <w:t xml:space="preserve">    teamChat: slack | teams</w:t>
            </w:r>
          </w:p>
          <w:p>
            <w:pPr>
              <w:pStyle w:val="Body"/>
              <w:spacing w:after="0" w:before="0"/>
            </w:pPr>
            <w:r>
              <w:rPr>
                <w:rFonts w:ascii="Courier New" w:hAnsi="Courier New"/>
                <w:sz w:val="17"/>
              </w:rPr>
              <w:t xml:space="preserve">  ci:</w:t>
            </w:r>
          </w:p>
          <w:p>
            <w:pPr>
              <w:pStyle w:val="Body"/>
              <w:spacing w:after="0" w:before="0"/>
            </w:pPr>
            <w:r>
              <w:rPr>
                <w:rFonts w:ascii="Courier New" w:hAnsi="Courier New"/>
                <w:sz w:val="17"/>
              </w:rPr>
              <w:t xml:space="preserve">    adapter: github-actions | gitlab-ci | buildkite</w:t>
            </w:r>
          </w:p>
          <w:p>
            <w:pPr>
              <w:pStyle w:val="Body"/>
              <w:spacing w:after="0" w:before="0"/>
            </w:pPr>
            <w:r>
              <w:rPr>
                <w:rFonts w:ascii="Courier New" w:hAnsi="Courier New"/>
                <w:sz w:val="17"/>
              </w:rPr>
              <w:t xml:space="preserve">  observability:</w:t>
            </w:r>
          </w:p>
          <w:p>
            <w:pPr>
              <w:pStyle w:val="Body"/>
              <w:spacing w:after="0" w:before="0"/>
            </w:pPr>
            <w:r>
              <w:rPr>
                <w:rFonts w:ascii="Courier New" w:hAnsi="Courier New"/>
                <w:sz w:val="17"/>
              </w:rPr>
              <w:t xml:space="preserve">    adapter: sentry | datadog | new-relic</w:t>
            </w:r>
          </w:p>
          <w:p>
            <w:pPr>
              <w:pStyle w:val="Body"/>
              <w:spacing w:after="0" w:before="0"/>
            </w:pPr>
            <w:r>
              <w:rPr>
                <w:rFonts w:ascii="Courier New" w:hAnsi="Courier New"/>
                <w:sz w:val="17"/>
              </w:rPr>
              <w:t>policies:</w:t>
            </w:r>
          </w:p>
          <w:p>
            <w:pPr>
              <w:pStyle w:val="Body"/>
              <w:spacing w:after="0" w:before="0"/>
            </w:pPr>
            <w:r>
              <w:rPr>
                <w:rFonts w:ascii="Courier New" w:hAnsi="Courier New"/>
                <w:sz w:val="17"/>
              </w:rPr>
              <w:t xml:space="preserve">  protectedBranches:</w:t>
            </w:r>
          </w:p>
          <w:p>
            <w:pPr>
              <w:pStyle w:val="Body"/>
              <w:spacing w:after="0" w:before="0"/>
            </w:pPr>
            <w:r>
              <w:rPr>
                <w:rFonts w:ascii="Courier New" w:hAnsi="Courier New"/>
                <w:sz w:val="17"/>
              </w:rPr>
              <w:t xml:space="preserve">    - main</w:t>
            </w:r>
          </w:p>
          <w:p>
            <w:pPr>
              <w:pStyle w:val="Body"/>
              <w:spacing w:after="0" w:before="0"/>
            </w:pPr>
            <w:r>
              <w:rPr>
                <w:rFonts w:ascii="Courier New" w:hAnsi="Courier New"/>
                <w:sz w:val="17"/>
              </w:rPr>
              <w:t xml:space="preserve">    - release/*</w:t>
            </w:r>
          </w:p>
          <w:p>
            <w:pPr>
              <w:pStyle w:val="Body"/>
              <w:spacing w:after="0" w:before="0"/>
            </w:pPr>
            <w:r>
              <w:rPr>
                <w:rFonts w:ascii="Courier New" w:hAnsi="Courier New"/>
                <w:sz w:val="17"/>
              </w:rPr>
              <w:t xml:space="preserve">  requireHumanMerge: true</w:t>
            </w:r>
          </w:p>
          <w:p>
            <w:pPr>
              <w:pStyle w:val="Body"/>
              <w:spacing w:after="0" w:before="0"/>
            </w:pPr>
            <w:r>
              <w:rPr>
                <w:rFonts w:ascii="Courier New" w:hAnsi="Courier New"/>
                <w:sz w:val="17"/>
              </w:rPr>
              <w:t xml:space="preserve">  requireHumanDeploy: true</w:t>
            </w:r>
          </w:p>
          <w:p>
            <w:pPr>
              <w:pStyle w:val="Body"/>
              <w:spacing w:after="0" w:before="0"/>
            </w:pPr>
            <w:r>
              <w:rPr>
                <w:rFonts w:ascii="Courier New" w:hAnsi="Courier New"/>
                <w:sz w:val="17"/>
              </w:rPr>
              <w:t xml:space="preserve">  evalGateProfile: strict</w:t>
            </w:r>
          </w:p>
        </w:tc>
      </w:tr>
    </w:tbl>
    <w:p/>
    <w:p>
      <w:pPr>
        <w:pStyle w:val="RuhHeading1"/>
        <w:keepNext/>
        <w:spacing w:before="320" w:after="160"/>
      </w:pPr>
      <w:r>
        <w:t>8. Policy, approval, and safety model</w:t>
      </w:r>
    </w:p>
    <w:p>
      <w:pPr>
        <w:pStyle w:val="Body"/>
        <w:spacing w:after="120" w:before="0" w:line="276" w:lineRule="auto"/>
      </w:pPr>
      <w:r>
        <w:t>The delivery conveyor becomes dangerous when automation can silently merge, deploy, or change protected configuration. The default policy profile therefore makes branch protection, eval gates, and deployment approvals explicit.</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3528"/>
            <w:vAlign w:val="center"/>
            <w:shd w:fill="DDE8F2" w:val="clear" w:color="auto"/>
          </w:tcPr>
          <w:p>
            <w:pPr>
              <w:pStyle w:val="Body"/>
              <w:jc w:val="center"/>
            </w:pPr>
            <w:r>
              <w:rPr>
                <w:b/>
                <w:sz w:val="17"/>
              </w:rPr>
              <w:t>Representative action</w:t>
            </w:r>
          </w:p>
        </w:tc>
        <w:tc>
          <w:tcPr>
            <w:tcW w:type="dxa" w:w="1944"/>
            <w:vAlign w:val="center"/>
            <w:shd w:fill="DDE8F2" w:val="clear" w:color="auto"/>
          </w:tcPr>
          <w:p>
            <w:pPr>
              <w:pStyle w:val="Body"/>
              <w:jc w:val="center"/>
            </w:pPr>
            <w:r>
              <w:rPr>
                <w:b/>
                <w:sz w:val="17"/>
              </w:rPr>
              <w:t>Default treatment</w:t>
            </w:r>
          </w:p>
        </w:tc>
        <w:tc>
          <w:tcPr>
            <w:tcW w:type="dxa" w:w="3168"/>
            <w:vAlign w:val="center"/>
            <w:shd w:fill="DDE8F2" w:val="clear" w:color="auto"/>
          </w:tcPr>
          <w:p>
            <w:pPr>
              <w:pStyle w:val="Body"/>
              <w:jc w:val="center"/>
            </w:pPr>
            <w:r>
              <w:rPr>
                <w:b/>
                <w:sz w:val="17"/>
              </w:rPr>
              <w:t>Notes</w:t>
            </w:r>
          </w:p>
        </w:tc>
      </w:tr>
      <w:tr>
        <w:tc>
          <w:tcPr>
            <w:tcW w:type="dxa" w:w="3528"/>
            <w:vAlign w:val="center"/>
          </w:tcPr>
          <w:p>
            <w:pPr>
              <w:pStyle w:val="Body"/>
              <w:spacing w:after="60" w:before="40"/>
              <w:jc w:val="left"/>
            </w:pPr>
            <w:r>
              <w:rPr>
                <w:sz w:val="17"/>
              </w:rPr>
              <w:t>Create internal work item or draft spec</w:t>
            </w:r>
          </w:p>
        </w:tc>
        <w:tc>
          <w:tcPr>
            <w:tcW w:type="dxa" w:w="1944"/>
            <w:vAlign w:val="center"/>
          </w:tcPr>
          <w:p>
            <w:pPr>
              <w:pStyle w:val="Body"/>
              <w:spacing w:after="60" w:before="40"/>
              <w:jc w:val="left"/>
            </w:pPr>
            <w:r>
              <w:rPr>
                <w:sz w:val="17"/>
              </w:rPr>
              <w:t>Auto</w:t>
            </w:r>
          </w:p>
        </w:tc>
        <w:tc>
          <w:tcPr>
            <w:tcW w:type="dxa" w:w="3168"/>
            <w:vAlign w:val="center"/>
          </w:tcPr>
          <w:p>
            <w:pPr>
              <w:pStyle w:val="Body"/>
              <w:spacing w:after="60" w:before="40"/>
              <w:jc w:val="left"/>
            </w:pPr>
            <w:r>
              <w:rPr>
                <w:sz w:val="17"/>
              </w:rPr>
              <w:t>Low-risk internal artifact creation.</w:t>
            </w:r>
          </w:p>
        </w:tc>
      </w:tr>
      <w:tr>
        <w:tc>
          <w:tcPr>
            <w:tcW w:type="dxa" w:w="3528"/>
            <w:vAlign w:val="center"/>
          </w:tcPr>
          <w:p>
            <w:pPr>
              <w:pStyle w:val="Body"/>
              <w:spacing w:after="60" w:before="40"/>
              <w:jc w:val="left"/>
            </w:pPr>
            <w:r>
              <w:rPr>
                <w:sz w:val="17"/>
              </w:rPr>
              <w:t>Generate technical plan</w:t>
            </w:r>
          </w:p>
        </w:tc>
        <w:tc>
          <w:tcPr>
            <w:tcW w:type="dxa" w:w="1944"/>
            <w:vAlign w:val="center"/>
          </w:tcPr>
          <w:p>
            <w:pPr>
              <w:pStyle w:val="Body"/>
              <w:spacing w:after="60" w:before="40"/>
              <w:jc w:val="left"/>
            </w:pPr>
            <w:r>
              <w:rPr>
                <w:sz w:val="17"/>
              </w:rPr>
              <w:t>Auto draft</w:t>
            </w:r>
          </w:p>
        </w:tc>
        <w:tc>
          <w:tcPr>
            <w:tcW w:type="dxa" w:w="3168"/>
            <w:vAlign w:val="center"/>
          </w:tcPr>
          <w:p>
            <w:pPr>
              <w:pStyle w:val="Body"/>
              <w:spacing w:after="60" w:before="40"/>
              <w:jc w:val="left"/>
            </w:pPr>
            <w:r>
              <w:rPr>
                <w:sz w:val="17"/>
              </w:rPr>
              <w:t>Human review expected before medium/high-risk changes proceed.</w:t>
            </w:r>
          </w:p>
        </w:tc>
      </w:tr>
      <w:tr>
        <w:tc>
          <w:tcPr>
            <w:tcW w:type="dxa" w:w="3528"/>
            <w:vAlign w:val="center"/>
          </w:tcPr>
          <w:p>
            <w:pPr>
              <w:pStyle w:val="Body"/>
              <w:spacing w:after="60" w:before="40"/>
              <w:jc w:val="left"/>
            </w:pPr>
            <w:r>
              <w:rPr>
                <w:sz w:val="17"/>
              </w:rPr>
              <w:t>Create branch, invoke coding agent, open PR</w:t>
            </w:r>
          </w:p>
        </w:tc>
        <w:tc>
          <w:tcPr>
            <w:tcW w:type="dxa" w:w="1944"/>
            <w:vAlign w:val="center"/>
          </w:tcPr>
          <w:p>
            <w:pPr>
              <w:pStyle w:val="Body"/>
              <w:spacing w:after="60" w:before="40"/>
              <w:jc w:val="left"/>
            </w:pPr>
            <w:r>
              <w:rPr>
                <w:sz w:val="17"/>
              </w:rPr>
              <w:t>Auto under policy</w:t>
            </w:r>
          </w:p>
        </w:tc>
        <w:tc>
          <w:tcPr>
            <w:tcW w:type="dxa" w:w="3168"/>
            <w:vAlign w:val="center"/>
          </w:tcPr>
          <w:p>
            <w:pPr>
              <w:pStyle w:val="Body"/>
              <w:spacing w:after="60" w:before="40"/>
              <w:jc w:val="left"/>
            </w:pPr>
            <w:r>
              <w:rPr>
                <w:sz w:val="17"/>
              </w:rPr>
              <w:t>Only for allowed repos/paths; no protected-branch writes.</w:t>
            </w:r>
          </w:p>
        </w:tc>
      </w:tr>
      <w:tr>
        <w:tc>
          <w:tcPr>
            <w:tcW w:type="dxa" w:w="3528"/>
            <w:vAlign w:val="center"/>
          </w:tcPr>
          <w:p>
            <w:pPr>
              <w:pStyle w:val="Body"/>
              <w:spacing w:after="60" w:before="40"/>
              <w:jc w:val="left"/>
            </w:pPr>
            <w:r>
              <w:rPr>
                <w:sz w:val="17"/>
              </w:rPr>
              <w:t>Merge PR to protected branch</w:t>
            </w:r>
          </w:p>
        </w:tc>
        <w:tc>
          <w:tcPr>
            <w:tcW w:type="dxa" w:w="1944"/>
            <w:vAlign w:val="center"/>
          </w:tcPr>
          <w:p>
            <w:pPr>
              <w:pStyle w:val="Body"/>
              <w:spacing w:after="60" w:before="40"/>
              <w:jc w:val="left"/>
            </w:pPr>
            <w:r>
              <w:rPr>
                <w:sz w:val="17"/>
              </w:rPr>
              <w:t>Approval required</w:t>
            </w:r>
          </w:p>
        </w:tc>
        <w:tc>
          <w:tcPr>
            <w:tcW w:type="dxa" w:w="3168"/>
            <w:vAlign w:val="center"/>
          </w:tcPr>
          <w:p>
            <w:pPr>
              <w:pStyle w:val="Body"/>
              <w:spacing w:after="60" w:before="40"/>
              <w:jc w:val="left"/>
            </w:pPr>
            <w:r>
              <w:rPr>
                <w:sz w:val="17"/>
              </w:rPr>
              <w:t>Human-only in V1 unless explicitly overridden later.</w:t>
            </w:r>
          </w:p>
        </w:tc>
      </w:tr>
      <w:tr>
        <w:tc>
          <w:tcPr>
            <w:tcW w:type="dxa" w:w="3528"/>
            <w:vAlign w:val="center"/>
          </w:tcPr>
          <w:p>
            <w:pPr>
              <w:pStyle w:val="Body"/>
              <w:spacing w:after="60" w:before="40"/>
              <w:jc w:val="left"/>
            </w:pPr>
            <w:r>
              <w:rPr>
                <w:sz w:val="17"/>
              </w:rPr>
              <w:t>Run tests and AI evals</w:t>
            </w:r>
          </w:p>
        </w:tc>
        <w:tc>
          <w:tcPr>
            <w:tcW w:type="dxa" w:w="1944"/>
            <w:vAlign w:val="center"/>
          </w:tcPr>
          <w:p>
            <w:pPr>
              <w:pStyle w:val="Body"/>
              <w:spacing w:after="60" w:before="40"/>
              <w:jc w:val="left"/>
            </w:pPr>
            <w:r>
              <w:rPr>
                <w:sz w:val="17"/>
              </w:rPr>
              <w:t>Auto</w:t>
            </w:r>
          </w:p>
        </w:tc>
        <w:tc>
          <w:tcPr>
            <w:tcW w:type="dxa" w:w="3168"/>
            <w:vAlign w:val="center"/>
          </w:tcPr>
          <w:p>
            <w:pPr>
              <w:pStyle w:val="Body"/>
              <w:spacing w:after="60" w:before="40"/>
              <w:jc w:val="left"/>
            </w:pPr>
            <w:r>
              <w:rPr>
                <w:sz w:val="17"/>
              </w:rPr>
              <w:t>Core control surface of the pack.</w:t>
            </w:r>
          </w:p>
        </w:tc>
      </w:tr>
      <w:tr>
        <w:tc>
          <w:tcPr>
            <w:tcW w:type="dxa" w:w="3528"/>
            <w:vAlign w:val="center"/>
          </w:tcPr>
          <w:p>
            <w:pPr>
              <w:pStyle w:val="Body"/>
              <w:spacing w:after="60" w:before="40"/>
              <w:jc w:val="left"/>
            </w:pPr>
            <w:r>
              <w:rPr>
                <w:sz w:val="17"/>
              </w:rPr>
              <w:t>Override a failed eval gate</w:t>
            </w:r>
          </w:p>
        </w:tc>
        <w:tc>
          <w:tcPr>
            <w:tcW w:type="dxa" w:w="1944"/>
            <w:vAlign w:val="center"/>
          </w:tcPr>
          <w:p>
            <w:pPr>
              <w:pStyle w:val="Body"/>
              <w:spacing w:after="60" w:before="40"/>
              <w:jc w:val="left"/>
            </w:pPr>
            <w:r>
              <w:rPr>
                <w:sz w:val="17"/>
              </w:rPr>
              <w:t>Approval required</w:t>
            </w:r>
          </w:p>
        </w:tc>
        <w:tc>
          <w:tcPr>
            <w:tcW w:type="dxa" w:w="3168"/>
            <w:vAlign w:val="center"/>
          </w:tcPr>
          <w:p>
            <w:pPr>
              <w:pStyle w:val="Body"/>
              <w:spacing w:after="60" w:before="40"/>
              <w:jc w:val="left"/>
            </w:pPr>
            <w:r>
              <w:rPr>
                <w:sz w:val="17"/>
              </w:rPr>
              <w:t>Requires named approver and logged rationale.</w:t>
            </w:r>
          </w:p>
        </w:tc>
      </w:tr>
      <w:tr>
        <w:tc>
          <w:tcPr>
            <w:tcW w:type="dxa" w:w="3528"/>
            <w:vAlign w:val="center"/>
          </w:tcPr>
          <w:p>
            <w:pPr>
              <w:pStyle w:val="Body"/>
              <w:spacing w:after="60" w:before="40"/>
              <w:jc w:val="left"/>
            </w:pPr>
            <w:r>
              <w:rPr>
                <w:sz w:val="17"/>
              </w:rPr>
              <w:t>Deploy to staging</w:t>
            </w:r>
          </w:p>
        </w:tc>
        <w:tc>
          <w:tcPr>
            <w:tcW w:type="dxa" w:w="1944"/>
            <w:vAlign w:val="center"/>
          </w:tcPr>
          <w:p>
            <w:pPr>
              <w:pStyle w:val="Body"/>
              <w:spacing w:after="60" w:before="40"/>
              <w:jc w:val="left"/>
            </w:pPr>
            <w:r>
              <w:rPr>
                <w:sz w:val="17"/>
              </w:rPr>
              <w:t>Approval required or tenant policy</w:t>
            </w:r>
          </w:p>
        </w:tc>
        <w:tc>
          <w:tcPr>
            <w:tcW w:type="dxa" w:w="3168"/>
            <w:vAlign w:val="center"/>
          </w:tcPr>
          <w:p>
            <w:pPr>
              <w:pStyle w:val="Body"/>
              <w:spacing w:after="60" w:before="40"/>
              <w:jc w:val="left"/>
            </w:pPr>
            <w:r>
              <w:rPr>
                <w:sz w:val="17"/>
              </w:rPr>
              <w:t>Allowed only where tenant enables it.</w:t>
            </w:r>
          </w:p>
        </w:tc>
      </w:tr>
      <w:tr>
        <w:tc>
          <w:tcPr>
            <w:tcW w:type="dxa" w:w="3528"/>
            <w:vAlign w:val="center"/>
          </w:tcPr>
          <w:p>
            <w:pPr>
              <w:pStyle w:val="Body"/>
              <w:spacing w:after="60" w:before="40"/>
              <w:jc w:val="left"/>
            </w:pPr>
            <w:r>
              <w:rPr>
                <w:sz w:val="17"/>
              </w:rPr>
              <w:t>Deploy to production</w:t>
            </w:r>
          </w:p>
        </w:tc>
        <w:tc>
          <w:tcPr>
            <w:tcW w:type="dxa" w:w="1944"/>
            <w:vAlign w:val="center"/>
          </w:tcPr>
          <w:p>
            <w:pPr>
              <w:pStyle w:val="Body"/>
              <w:spacing w:after="60" w:before="40"/>
              <w:jc w:val="left"/>
            </w:pPr>
            <w:r>
              <w:rPr>
                <w:sz w:val="17"/>
              </w:rPr>
              <w:t>Human only</w:t>
            </w:r>
          </w:p>
        </w:tc>
        <w:tc>
          <w:tcPr>
            <w:tcW w:type="dxa" w:w="3168"/>
            <w:vAlign w:val="center"/>
          </w:tcPr>
          <w:p>
            <w:pPr>
              <w:pStyle w:val="Body"/>
              <w:spacing w:after="60" w:before="40"/>
              <w:jc w:val="left"/>
            </w:pPr>
            <w:r>
              <w:rPr>
                <w:sz w:val="17"/>
              </w:rPr>
              <w:t>Not automated in V1.</w:t>
            </w:r>
          </w:p>
        </w:tc>
      </w:tr>
      <w:tr>
        <w:tc>
          <w:tcPr>
            <w:tcW w:type="dxa" w:w="3528"/>
            <w:vAlign w:val="center"/>
          </w:tcPr>
          <w:p>
            <w:pPr>
              <w:pStyle w:val="Body"/>
              <w:spacing w:after="60" w:before="40"/>
              <w:jc w:val="left"/>
            </w:pPr>
            <w:r>
              <w:rPr>
                <w:sz w:val="17"/>
              </w:rPr>
              <w:t>Send customer-facing incident update</w:t>
            </w:r>
          </w:p>
        </w:tc>
        <w:tc>
          <w:tcPr>
            <w:tcW w:type="dxa" w:w="1944"/>
            <w:vAlign w:val="center"/>
          </w:tcPr>
          <w:p>
            <w:pPr>
              <w:pStyle w:val="Body"/>
              <w:spacing w:after="60" w:before="40"/>
              <w:jc w:val="left"/>
            </w:pPr>
            <w:r>
              <w:rPr>
                <w:sz w:val="17"/>
              </w:rPr>
              <w:t>Approval required</w:t>
            </w:r>
          </w:p>
        </w:tc>
        <w:tc>
          <w:tcPr>
            <w:tcW w:type="dxa" w:w="3168"/>
            <w:vAlign w:val="center"/>
          </w:tcPr>
          <w:p>
            <w:pPr>
              <w:pStyle w:val="Body"/>
              <w:spacing w:after="60" w:before="40"/>
              <w:jc w:val="left"/>
            </w:pPr>
            <w:r>
              <w:rPr>
                <w:sz w:val="17"/>
              </w:rPr>
              <w:t>External communication remains human-owned.</w:t>
            </w:r>
          </w:p>
        </w:tc>
      </w:tr>
      <w:tr>
        <w:tc>
          <w:tcPr>
            <w:tcW w:type="dxa" w:w="3528"/>
            <w:vAlign w:val="center"/>
          </w:tcPr>
          <w:p>
            <w:pPr>
              <w:pStyle w:val="Body"/>
              <w:spacing w:after="60" w:before="40"/>
              <w:jc w:val="left"/>
            </w:pPr>
            <w:r>
              <w:rPr>
                <w:sz w:val="17"/>
              </w:rPr>
              <w:t>Change secrets, credentials, or protected configs</w:t>
            </w:r>
          </w:p>
        </w:tc>
        <w:tc>
          <w:tcPr>
            <w:tcW w:type="dxa" w:w="1944"/>
            <w:vAlign w:val="center"/>
          </w:tcPr>
          <w:p>
            <w:pPr>
              <w:pStyle w:val="Body"/>
              <w:spacing w:after="60" w:before="40"/>
              <w:jc w:val="left"/>
            </w:pPr>
            <w:r>
              <w:rPr>
                <w:sz w:val="17"/>
              </w:rPr>
              <w:t>Human only</w:t>
            </w:r>
          </w:p>
        </w:tc>
        <w:tc>
          <w:tcPr>
            <w:tcW w:type="dxa" w:w="3168"/>
            <w:vAlign w:val="center"/>
          </w:tcPr>
          <w:p>
            <w:pPr>
              <w:pStyle w:val="Body"/>
              <w:spacing w:after="60" w:before="40"/>
              <w:jc w:val="left"/>
            </w:pPr>
            <w:r>
              <w:rPr>
                <w:sz w:val="17"/>
              </w:rPr>
              <w:t>Out of scope for unattended automation.</w:t>
            </w:r>
          </w:p>
        </w:tc>
      </w:tr>
    </w:tbl>
    <w:p/>
    <w:tbl>
      <w:tblPr>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10166"/>
      </w:tblGrid>
      <w:tr>
        <w:tc>
          <w:tcPr>
            <w:tcW w:type="dxa" w:w="9648"/>
            <w:shd w:fill="F7EDD1" w:val="clear" w:color="auto"/>
            <w:vAlign w:val="center"/>
          </w:tcPr>
          <w:p>
            <w:pPr>
              <w:pStyle w:val="Body"/>
              <w:spacing w:after="80"/>
            </w:pPr>
            <w:r/>
            <w:r>
              <w:rPr>
                <w:b/>
              </w:rPr>
              <w:t>Approval rule design principle</w:t>
            </w:r>
          </w:p>
          <w:p>
            <w:pPr>
              <w:pStyle w:val="Body"/>
              <w:spacing w:after="80"/>
            </w:pPr>
            <w:r>
              <w:t>The pack should automate assembly, comparison, and workflow progression early. It should not automate irreversible or high-blast-radius actions until the customer has operational confidence, eval maturity, and explicit approval design.</w:t>
            </w:r>
          </w:p>
        </w:tc>
      </w:tr>
    </w:tbl>
    <w:p/>
    <w:p>
      <w:pPr>
        <w:pStyle w:val="RuhHeading1"/>
        <w:keepNext/>
        <w:spacing w:before="320" w:after="160"/>
      </w:pPr>
      <w:r>
        <w:t>9. Canonical artifacts and sample contracts</w:t>
      </w:r>
    </w:p>
    <w:p>
      <w:pPr>
        <w:pStyle w:val="Body"/>
        <w:spacing w:after="120" w:before="0" w:line="276" w:lineRule="auto"/>
      </w:pPr>
      <w:r>
        <w:t>All collaboration between employees and humans should pass through structured artifacts that can be stored, reviewed, versioned, and replayed. This is especially important for AI behavior changes, where the artifact is what makes the work auditable.</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2448"/>
            <w:vAlign w:val="center"/>
            <w:shd w:fill="DDE8F2" w:val="clear" w:color="auto"/>
          </w:tcPr>
          <w:p>
            <w:pPr>
              <w:pStyle w:val="Body"/>
              <w:jc w:val="center"/>
            </w:pPr>
            <w:r>
              <w:rPr>
                <w:b/>
                <w:sz w:val="16"/>
              </w:rPr>
              <w:t>Artifact</w:t>
            </w:r>
          </w:p>
        </w:tc>
        <w:tc>
          <w:tcPr>
            <w:tcW w:type="dxa" w:w="2015"/>
            <w:vAlign w:val="center"/>
            <w:shd w:fill="DDE8F2" w:val="clear" w:color="auto"/>
          </w:tcPr>
          <w:p>
            <w:pPr>
              <w:pStyle w:val="Body"/>
              <w:jc w:val="center"/>
            </w:pPr>
            <w:r>
              <w:rPr>
                <w:b/>
                <w:sz w:val="16"/>
              </w:rPr>
              <w:t>Produced by</w:t>
            </w:r>
          </w:p>
        </w:tc>
        <w:tc>
          <w:tcPr>
            <w:tcW w:type="dxa" w:w="4608"/>
            <w:vAlign w:val="center"/>
            <w:shd w:fill="DDE8F2" w:val="clear" w:color="auto"/>
          </w:tcPr>
          <w:p>
            <w:pPr>
              <w:pStyle w:val="Body"/>
              <w:jc w:val="center"/>
            </w:pPr>
            <w:r>
              <w:rPr>
                <w:b/>
                <w:sz w:val="16"/>
              </w:rPr>
              <w:t>Required fields</w:t>
            </w:r>
          </w:p>
        </w:tc>
      </w:tr>
      <w:tr>
        <w:tc>
          <w:tcPr>
            <w:tcW w:type="dxa" w:w="2448"/>
            <w:vAlign w:val="center"/>
          </w:tcPr>
          <w:p>
            <w:pPr>
              <w:pStyle w:val="Body"/>
              <w:spacing w:after="60" w:before="40"/>
              <w:jc w:val="left"/>
            </w:pPr>
            <w:r>
              <w:rPr>
                <w:sz w:val="16"/>
              </w:rPr>
              <w:t>Work-item brief</w:t>
            </w:r>
          </w:p>
        </w:tc>
        <w:tc>
          <w:tcPr>
            <w:tcW w:type="dxa" w:w="2015"/>
            <w:vAlign w:val="center"/>
          </w:tcPr>
          <w:p>
            <w:pPr>
              <w:pStyle w:val="Body"/>
              <w:spacing w:after="60" w:before="40"/>
              <w:jc w:val="left"/>
            </w:pPr>
            <w:r>
              <w:rPr>
                <w:sz w:val="16"/>
              </w:rPr>
              <w:t>Intake &amp; triage</w:t>
            </w:r>
          </w:p>
        </w:tc>
        <w:tc>
          <w:tcPr>
            <w:tcW w:type="dxa" w:w="4608"/>
            <w:vAlign w:val="center"/>
          </w:tcPr>
          <w:p>
            <w:pPr>
              <w:pStyle w:val="Body"/>
              <w:spacing w:after="60" w:before="40"/>
              <w:jc w:val="left"/>
            </w:pPr>
            <w:r>
              <w:rPr>
                <w:sz w:val="16"/>
              </w:rPr>
              <w:t>signalRefs; classification; proposedOwner; severity; evidenceLinks; duplicateCluster</w:t>
            </w:r>
          </w:p>
        </w:tc>
      </w:tr>
      <w:tr>
        <w:tc>
          <w:tcPr>
            <w:tcW w:type="dxa" w:w="2448"/>
            <w:vAlign w:val="center"/>
          </w:tcPr>
          <w:p>
            <w:pPr>
              <w:pStyle w:val="Body"/>
              <w:spacing w:after="60" w:before="40"/>
              <w:jc w:val="left"/>
            </w:pPr>
            <w:r>
              <w:rPr>
                <w:sz w:val="16"/>
              </w:rPr>
              <w:t>Spec package</w:t>
            </w:r>
          </w:p>
        </w:tc>
        <w:tc>
          <w:tcPr>
            <w:tcW w:type="dxa" w:w="2015"/>
            <w:vAlign w:val="center"/>
          </w:tcPr>
          <w:p>
            <w:pPr>
              <w:pStyle w:val="Body"/>
              <w:spacing w:after="60" w:before="40"/>
              <w:jc w:val="left"/>
            </w:pPr>
            <w:r>
              <w:rPr>
                <w:sz w:val="16"/>
              </w:rPr>
              <w:t>Spec employee</w:t>
            </w:r>
          </w:p>
        </w:tc>
        <w:tc>
          <w:tcPr>
            <w:tcW w:type="dxa" w:w="4608"/>
            <w:vAlign w:val="center"/>
          </w:tcPr>
          <w:p>
            <w:pPr>
              <w:pStyle w:val="Body"/>
              <w:spacing w:after="60" w:before="40"/>
              <w:jc w:val="left"/>
            </w:pPr>
            <w:r>
              <w:rPr>
                <w:sz w:val="16"/>
              </w:rPr>
              <w:t>problem; desiredOutcome; acceptanceCriteria; rolloutNotes; openQuestions</w:t>
            </w:r>
          </w:p>
        </w:tc>
      </w:tr>
      <w:tr>
        <w:tc>
          <w:tcPr>
            <w:tcW w:type="dxa" w:w="2448"/>
            <w:vAlign w:val="center"/>
          </w:tcPr>
          <w:p>
            <w:pPr>
              <w:pStyle w:val="Body"/>
              <w:spacing w:after="60" w:before="40"/>
              <w:jc w:val="left"/>
            </w:pPr>
            <w:r>
              <w:rPr>
                <w:sz w:val="16"/>
              </w:rPr>
              <w:t>Technical plan</w:t>
            </w:r>
          </w:p>
        </w:tc>
        <w:tc>
          <w:tcPr>
            <w:tcW w:type="dxa" w:w="2015"/>
            <w:vAlign w:val="center"/>
          </w:tcPr>
          <w:p>
            <w:pPr>
              <w:pStyle w:val="Body"/>
              <w:spacing w:after="60" w:before="40"/>
              <w:jc w:val="left"/>
            </w:pPr>
            <w:r>
              <w:rPr>
                <w:sz w:val="16"/>
              </w:rPr>
              <w:t>Architecture planner</w:t>
            </w:r>
          </w:p>
        </w:tc>
        <w:tc>
          <w:tcPr>
            <w:tcW w:type="dxa" w:w="4608"/>
            <w:vAlign w:val="center"/>
          </w:tcPr>
          <w:p>
            <w:pPr>
              <w:pStyle w:val="Body"/>
              <w:spacing w:after="60" w:before="40"/>
              <w:jc w:val="left"/>
            </w:pPr>
            <w:r>
              <w:rPr>
                <w:sz w:val="16"/>
              </w:rPr>
              <w:t>touchedSystems; touchedFiles; migrationRisk; testStrategy; dependencies</w:t>
            </w:r>
          </w:p>
        </w:tc>
      </w:tr>
      <w:tr>
        <w:tc>
          <w:tcPr>
            <w:tcW w:type="dxa" w:w="2448"/>
            <w:vAlign w:val="center"/>
          </w:tcPr>
          <w:p>
            <w:pPr>
              <w:pStyle w:val="Body"/>
              <w:spacing w:after="60" w:before="40"/>
              <w:jc w:val="left"/>
            </w:pPr>
            <w:r>
              <w:rPr>
                <w:sz w:val="16"/>
              </w:rPr>
              <w:t>Build summary</w:t>
            </w:r>
          </w:p>
        </w:tc>
        <w:tc>
          <w:tcPr>
            <w:tcW w:type="dxa" w:w="2015"/>
            <w:vAlign w:val="center"/>
          </w:tcPr>
          <w:p>
            <w:pPr>
              <w:pStyle w:val="Body"/>
              <w:spacing w:after="60" w:before="40"/>
              <w:jc w:val="left"/>
            </w:pPr>
            <w:r>
              <w:rPr>
                <w:sz w:val="16"/>
              </w:rPr>
              <w:t>Builder orchestrator</w:t>
            </w:r>
          </w:p>
        </w:tc>
        <w:tc>
          <w:tcPr>
            <w:tcW w:type="dxa" w:w="4608"/>
            <w:vAlign w:val="center"/>
          </w:tcPr>
          <w:p>
            <w:pPr>
              <w:pStyle w:val="Body"/>
              <w:spacing w:after="60" w:before="40"/>
              <w:jc w:val="left"/>
            </w:pPr>
            <w:r>
              <w:rPr>
                <w:sz w:val="16"/>
              </w:rPr>
              <w:t>branch; PRRef; codingAgentRunRefs; CIRefs; unresolvedItems</w:t>
            </w:r>
          </w:p>
        </w:tc>
      </w:tr>
      <w:tr>
        <w:tc>
          <w:tcPr>
            <w:tcW w:type="dxa" w:w="2448"/>
            <w:vAlign w:val="center"/>
          </w:tcPr>
          <w:p>
            <w:pPr>
              <w:pStyle w:val="Body"/>
              <w:spacing w:after="60" w:before="40"/>
              <w:jc w:val="left"/>
            </w:pPr>
            <w:r>
              <w:rPr>
                <w:sz w:val="16"/>
              </w:rPr>
              <w:t>Eval run summary</w:t>
            </w:r>
          </w:p>
        </w:tc>
        <w:tc>
          <w:tcPr>
            <w:tcW w:type="dxa" w:w="2015"/>
            <w:vAlign w:val="center"/>
          </w:tcPr>
          <w:p>
            <w:pPr>
              <w:pStyle w:val="Body"/>
              <w:spacing w:after="60" w:before="40"/>
              <w:jc w:val="left"/>
            </w:pPr>
            <w:r>
              <w:rPr>
                <w:sz w:val="16"/>
              </w:rPr>
              <w:t>QA &amp; evals</w:t>
            </w:r>
          </w:p>
        </w:tc>
        <w:tc>
          <w:tcPr>
            <w:tcW w:type="dxa" w:w="4608"/>
            <w:vAlign w:val="center"/>
          </w:tcPr>
          <w:p>
            <w:pPr>
              <w:pStyle w:val="Body"/>
              <w:spacing w:after="60" w:before="40"/>
              <w:jc w:val="left"/>
            </w:pPr>
            <w:r>
              <w:rPr>
                <w:sz w:val="16"/>
              </w:rPr>
              <w:t>changeType; suitesRun; passFail; criticalFindings; overrideRequired</w:t>
            </w:r>
          </w:p>
        </w:tc>
      </w:tr>
      <w:tr>
        <w:tc>
          <w:tcPr>
            <w:tcW w:type="dxa" w:w="2448"/>
            <w:vAlign w:val="center"/>
          </w:tcPr>
          <w:p>
            <w:pPr>
              <w:pStyle w:val="Body"/>
              <w:spacing w:after="60" w:before="40"/>
              <w:jc w:val="left"/>
            </w:pPr>
            <w:r>
              <w:rPr>
                <w:sz w:val="16"/>
              </w:rPr>
              <w:t>Release brief</w:t>
            </w:r>
          </w:p>
        </w:tc>
        <w:tc>
          <w:tcPr>
            <w:tcW w:type="dxa" w:w="2015"/>
            <w:vAlign w:val="center"/>
          </w:tcPr>
          <w:p>
            <w:pPr>
              <w:pStyle w:val="Body"/>
              <w:spacing w:after="60" w:before="40"/>
              <w:jc w:val="left"/>
            </w:pPr>
            <w:r>
              <w:rPr>
                <w:sz w:val="16"/>
              </w:rPr>
              <w:t>Review &amp; release</w:t>
            </w:r>
          </w:p>
        </w:tc>
        <w:tc>
          <w:tcPr>
            <w:tcW w:type="dxa" w:w="4608"/>
            <w:vAlign w:val="center"/>
          </w:tcPr>
          <w:p>
            <w:pPr>
              <w:pStyle w:val="Body"/>
              <w:spacing w:after="60" w:before="40"/>
              <w:jc w:val="left"/>
            </w:pPr>
            <w:r>
              <w:rPr>
                <w:sz w:val="16"/>
              </w:rPr>
              <w:t>changes; flags; rolloutPlan; rollbackPlan; approvals</w:t>
            </w:r>
          </w:p>
        </w:tc>
      </w:tr>
      <w:tr>
        <w:tc>
          <w:tcPr>
            <w:tcW w:type="dxa" w:w="2448"/>
            <w:vAlign w:val="center"/>
          </w:tcPr>
          <w:p>
            <w:pPr>
              <w:pStyle w:val="Body"/>
              <w:spacing w:after="60" w:before="40"/>
              <w:jc w:val="left"/>
            </w:pPr>
            <w:r>
              <w:rPr>
                <w:sz w:val="16"/>
              </w:rPr>
              <w:t>Incident RCA</w:t>
            </w:r>
          </w:p>
        </w:tc>
        <w:tc>
          <w:tcPr>
            <w:tcW w:type="dxa" w:w="2015"/>
            <w:vAlign w:val="center"/>
          </w:tcPr>
          <w:p>
            <w:pPr>
              <w:pStyle w:val="Body"/>
              <w:spacing w:after="60" w:before="40"/>
              <w:jc w:val="left"/>
            </w:pPr>
            <w:r>
              <w:rPr>
                <w:sz w:val="16"/>
              </w:rPr>
              <w:t>Incident &amp; feedback</w:t>
            </w:r>
          </w:p>
        </w:tc>
        <w:tc>
          <w:tcPr>
            <w:tcW w:type="dxa" w:w="4608"/>
            <w:vAlign w:val="center"/>
          </w:tcPr>
          <w:p>
            <w:pPr>
              <w:pStyle w:val="Body"/>
              <w:spacing w:after="60" w:before="40"/>
              <w:jc w:val="left"/>
            </w:pPr>
            <w:r>
              <w:rPr>
                <w:sz w:val="16"/>
              </w:rPr>
              <w:t>timeline; suspectedCause; evidence; relatedChanges; followUps</w:t>
            </w:r>
          </w:p>
        </w:tc>
      </w:tr>
      <w:tr>
        <w:tc>
          <w:tcPr>
            <w:tcW w:type="dxa" w:w="2448"/>
            <w:vAlign w:val="center"/>
          </w:tcPr>
          <w:p>
            <w:pPr>
              <w:pStyle w:val="Body"/>
              <w:spacing w:after="60" w:before="40"/>
              <w:jc w:val="left"/>
            </w:pPr>
            <w:r>
              <w:rPr>
                <w:sz w:val="16"/>
              </w:rPr>
              <w:t>Regression case bundle</w:t>
            </w:r>
          </w:p>
        </w:tc>
        <w:tc>
          <w:tcPr>
            <w:tcW w:type="dxa" w:w="2015"/>
            <w:vAlign w:val="center"/>
          </w:tcPr>
          <w:p>
            <w:pPr>
              <w:pStyle w:val="Body"/>
              <w:spacing w:after="60" w:before="40"/>
              <w:jc w:val="left"/>
            </w:pPr>
            <w:r>
              <w:rPr>
                <w:sz w:val="16"/>
              </w:rPr>
              <w:t>QA &amp; evals / incident &amp; feedback</w:t>
            </w:r>
          </w:p>
        </w:tc>
        <w:tc>
          <w:tcPr>
            <w:tcW w:type="dxa" w:w="4608"/>
            <w:vAlign w:val="center"/>
          </w:tcPr>
          <w:p>
            <w:pPr>
              <w:pStyle w:val="Body"/>
              <w:spacing w:after="60" w:before="40"/>
              <w:jc w:val="left"/>
            </w:pPr>
            <w:r>
              <w:rPr>
                <w:sz w:val="16"/>
              </w:rPr>
              <w:t>testCases; evalCases; sourceFailureRefs; expectedBehavior</w:t>
            </w:r>
          </w:p>
        </w:tc>
      </w:tr>
    </w:tbl>
    <w:p/>
    <w:p>
      <w:pPr>
        <w:pStyle w:val="RuhHeading2"/>
        <w:keepNext/>
        <w:spacing w:before="200" w:after="120"/>
      </w:pPr>
      <w:r>
        <w:t>9.1 Sample workflow input</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task:</w:t>
            </w:r>
          </w:p>
          <w:p>
            <w:pPr>
              <w:pStyle w:val="Body"/>
              <w:spacing w:after="0" w:before="0"/>
            </w:pPr>
            <w:r>
              <w:rPr>
                <w:rFonts w:ascii="Courier New" w:hAnsi="Courier New"/>
                <w:sz w:val="17"/>
              </w:rPr>
              <w:t xml:space="preserve">  type: spec.generate</w:t>
            </w:r>
          </w:p>
          <w:p>
            <w:pPr>
              <w:pStyle w:val="Body"/>
              <w:spacing w:after="0" w:before="0"/>
            </w:pPr>
            <w:r>
              <w:rPr>
                <w:rFonts w:ascii="Courier New" w:hAnsi="Courier New"/>
                <w:sz w:val="17"/>
              </w:rPr>
              <w:t xml:space="preserve">  workspaceRef: product:copilot-assistant</w:t>
            </w:r>
          </w:p>
          <w:p>
            <w:pPr>
              <w:pStyle w:val="Body"/>
              <w:spacing w:after="0" w:before="0"/>
            </w:pPr>
            <w:r>
              <w:rPr>
                <w:rFonts w:ascii="Courier New" w:hAnsi="Courier New"/>
                <w:sz w:val="17"/>
              </w:rPr>
              <w:t xml:space="preserve">  sourceRefs:</w:t>
            </w:r>
          </w:p>
          <w:p>
            <w:pPr>
              <w:pStyle w:val="Body"/>
              <w:spacing w:after="0" w:before="0"/>
            </w:pPr>
            <w:r>
              <w:rPr>
                <w:rFonts w:ascii="Courier New" w:hAnsi="Courier New"/>
                <w:sz w:val="17"/>
              </w:rPr>
              <w:t xml:space="preserve">    - slack:thread:4419</w:t>
            </w:r>
          </w:p>
          <w:p>
            <w:pPr>
              <w:pStyle w:val="Body"/>
              <w:spacing w:after="0" w:before="0"/>
            </w:pPr>
            <w:r>
              <w:rPr>
                <w:rFonts w:ascii="Courier New" w:hAnsi="Courier New"/>
                <w:sz w:val="17"/>
              </w:rPr>
              <w:t xml:space="preserve">    - support:ticket:8931</w:t>
            </w:r>
          </w:p>
          <w:p>
            <w:pPr>
              <w:pStyle w:val="Body"/>
              <w:spacing w:after="0" w:before="0"/>
            </w:pPr>
            <w:r>
              <w:rPr>
                <w:rFonts w:ascii="Courier New" w:hAnsi="Courier New"/>
                <w:sz w:val="17"/>
              </w:rPr>
              <w:t xml:space="preserve">    - issue:BUG-204</w:t>
            </w:r>
          </w:p>
          <w:p>
            <w:pPr>
              <w:pStyle w:val="Body"/>
              <w:spacing w:after="0" w:before="0"/>
            </w:pPr>
            <w:r>
              <w:rPr>
                <w:rFonts w:ascii="Courier New" w:hAnsi="Courier New"/>
                <w:sz w:val="17"/>
              </w:rPr>
              <w:t xml:space="preserve">  requester:</w:t>
            </w:r>
          </w:p>
          <w:p>
            <w:pPr>
              <w:pStyle w:val="Body"/>
              <w:spacing w:after="0" w:before="0"/>
            </w:pPr>
            <w:r>
              <w:rPr>
                <w:rFonts w:ascii="Courier New" w:hAnsi="Courier New"/>
                <w:sz w:val="17"/>
              </w:rPr>
              <w:t xml:space="preserve">    personRef: user:pm-17</w:t>
            </w:r>
          </w:p>
          <w:p>
            <w:pPr>
              <w:pStyle w:val="Body"/>
              <w:spacing w:after="0" w:before="0"/>
            </w:pPr>
            <w:r>
              <w:rPr>
                <w:rFonts w:ascii="Courier New" w:hAnsi="Courier New"/>
                <w:sz w:val="17"/>
              </w:rPr>
              <w:t xml:space="preserve">  context:</w:t>
            </w:r>
          </w:p>
          <w:p>
            <w:pPr>
              <w:pStyle w:val="Body"/>
              <w:spacing w:after="0" w:before="0"/>
            </w:pPr>
            <w:r>
              <w:rPr>
                <w:rFonts w:ascii="Courier New" w:hAnsi="Courier New"/>
                <w:sz w:val="17"/>
              </w:rPr>
              <w:t xml:space="preserve">    productArea: "conversation memory"</w:t>
            </w:r>
          </w:p>
          <w:p>
            <w:pPr>
              <w:pStyle w:val="Body"/>
              <w:spacing w:after="0" w:before="0"/>
            </w:pPr>
            <w:r>
              <w:rPr>
                <w:rFonts w:ascii="Courier New" w:hAnsi="Courier New"/>
                <w:sz w:val="17"/>
              </w:rPr>
              <w:t xml:space="preserve">    severity: medium</w:t>
            </w:r>
          </w:p>
          <w:p>
            <w:pPr>
              <w:pStyle w:val="Body"/>
              <w:spacing w:after="0" w:before="0"/>
            </w:pPr>
            <w:r>
              <w:rPr>
                <w:rFonts w:ascii="Courier New" w:hAnsi="Courier New"/>
                <w:sz w:val="17"/>
              </w:rPr>
              <w:t xml:space="preserve">    linkedIncident: INC-33</w:t>
            </w:r>
          </w:p>
        </w:tc>
      </w:tr>
    </w:tbl>
    <w:p/>
    <w:p>
      <w:pPr>
        <w:pStyle w:val="RuhHeading2"/>
        <w:keepNext/>
        <w:spacing w:before="200" w:after="120"/>
      </w:pPr>
      <w:r>
        <w:t>9.2 Sample eval run summary</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artifact:</w:t>
            </w:r>
          </w:p>
          <w:p>
            <w:pPr>
              <w:pStyle w:val="Body"/>
              <w:spacing w:after="0" w:before="0"/>
            </w:pPr>
            <w:r>
              <w:rPr>
                <w:rFonts w:ascii="Courier New" w:hAnsi="Courier New"/>
                <w:sz w:val="17"/>
              </w:rPr>
              <w:t xml:space="preserve">  type: eval-run-summary</w:t>
            </w:r>
          </w:p>
          <w:p>
            <w:pPr>
              <w:pStyle w:val="Body"/>
              <w:spacing w:after="0" w:before="0"/>
            </w:pPr>
            <w:r>
              <w:rPr>
                <w:rFonts w:ascii="Courier New" w:hAnsi="Courier New"/>
                <w:sz w:val="17"/>
              </w:rPr>
              <w:t xml:space="preserve">  changeType: prompt-and-tooling</w:t>
            </w:r>
          </w:p>
          <w:p>
            <w:pPr>
              <w:pStyle w:val="Body"/>
              <w:spacing w:after="0" w:before="0"/>
            </w:pPr>
            <w:r>
              <w:rPr>
                <w:rFonts w:ascii="Courier New" w:hAnsi="Courier New"/>
                <w:sz w:val="17"/>
              </w:rPr>
              <w:t xml:space="preserve">  suitesRun:</w:t>
            </w:r>
          </w:p>
          <w:p>
            <w:pPr>
              <w:pStyle w:val="Body"/>
              <w:spacing w:after="0" w:before="0"/>
            </w:pPr>
            <w:r>
              <w:rPr>
                <w:rFonts w:ascii="Courier New" w:hAnsi="Courier New"/>
                <w:sz w:val="17"/>
              </w:rPr>
              <w:t xml:space="preserve">    - regression:conversation-memory</w:t>
            </w:r>
          </w:p>
          <w:p>
            <w:pPr>
              <w:pStyle w:val="Body"/>
              <w:spacing w:after="0" w:before="0"/>
            </w:pPr>
            <w:r>
              <w:rPr>
                <w:rFonts w:ascii="Courier New" w:hAnsi="Courier New"/>
                <w:sz w:val="17"/>
              </w:rPr>
              <w:t xml:space="preserve">    - safety:prompt-injection</w:t>
            </w:r>
          </w:p>
          <w:p>
            <w:pPr>
              <w:pStyle w:val="Body"/>
              <w:spacing w:after="0" w:before="0"/>
            </w:pPr>
            <w:r>
              <w:rPr>
                <w:rFonts w:ascii="Courier New" w:hAnsi="Courier New"/>
                <w:sz w:val="17"/>
              </w:rPr>
              <w:t xml:space="preserve">    - latency:assistant-core</w:t>
            </w:r>
          </w:p>
          <w:p>
            <w:pPr>
              <w:pStyle w:val="Body"/>
              <w:spacing w:after="0" w:before="0"/>
            </w:pPr>
            <w:r>
              <w:rPr>
                <w:rFonts w:ascii="Courier New" w:hAnsi="Courier New"/>
                <w:sz w:val="17"/>
              </w:rPr>
              <w:t xml:space="preserve">  result: fail</w:t>
            </w:r>
          </w:p>
          <w:p>
            <w:pPr>
              <w:pStyle w:val="Body"/>
              <w:spacing w:after="0" w:before="0"/>
            </w:pPr>
            <w:r>
              <w:rPr>
                <w:rFonts w:ascii="Courier New" w:hAnsi="Courier New"/>
                <w:sz w:val="17"/>
              </w:rPr>
              <w:t xml:space="preserve">  criticalFindings:</w:t>
            </w:r>
          </w:p>
          <w:p>
            <w:pPr>
              <w:pStyle w:val="Body"/>
              <w:spacing w:after="0" w:before="0"/>
            </w:pPr>
            <w:r>
              <w:rPr>
                <w:rFonts w:ascii="Courier New" w:hAnsi="Courier New"/>
                <w:sz w:val="17"/>
              </w:rPr>
              <w:t xml:space="preserve">    - "Memory recall regression on 3 of 40 gold cases"</w:t>
            </w:r>
          </w:p>
          <w:p>
            <w:pPr>
              <w:pStyle w:val="Body"/>
              <w:spacing w:after="0" w:before="0"/>
            </w:pPr>
            <w:r>
              <w:rPr>
                <w:rFonts w:ascii="Courier New" w:hAnsi="Courier New"/>
                <w:sz w:val="17"/>
              </w:rPr>
              <w:t xml:space="preserve">  overrideRequired: true</w:t>
            </w:r>
          </w:p>
          <w:p>
            <w:pPr>
              <w:pStyle w:val="Body"/>
              <w:spacing w:after="0" w:before="0"/>
            </w:pPr>
            <w:r>
              <w:rPr>
                <w:rFonts w:ascii="Courier New" w:hAnsi="Courier New"/>
                <w:sz w:val="17"/>
              </w:rPr>
              <w:t xml:space="preserve">  followUpTasks:</w:t>
            </w:r>
          </w:p>
          <w:p>
            <w:pPr>
              <w:pStyle w:val="Body"/>
              <w:spacing w:after="0" w:before="0"/>
            </w:pPr>
            <w:r>
              <w:rPr>
                <w:rFonts w:ascii="Courier New" w:hAnsi="Courier New"/>
                <w:sz w:val="17"/>
              </w:rPr>
              <w:t xml:space="preserve">    - issue:ENG-1172</w:t>
            </w:r>
          </w:p>
        </w:tc>
      </w:tr>
    </w:tbl>
    <w:p/>
    <w:p>
      <w:pPr>
        <w:pStyle w:val="RuhHeading1"/>
        <w:keepNext/>
        <w:spacing w:before="320" w:after="160"/>
      </w:pPr>
      <w:r>
        <w:t>10. Eval suite and release gates</w:t>
      </w:r>
    </w:p>
    <w:p>
      <w:pPr>
        <w:pStyle w:val="Body"/>
        <w:spacing w:after="120" w:before="0" w:line="276" w:lineRule="auto"/>
      </w:pPr>
      <w:r>
        <w:t>A reference pack for AI product companies is only reusable if it can be validated repeatedly. The pack therefore ships eval families that test work-item quality, plan quality, AI regression coverage, policy enforcement, and release readiness.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1944"/>
            <w:vAlign w:val="center"/>
            <w:shd w:fill="DDE8F2" w:val="clear" w:color="auto"/>
          </w:tcPr>
          <w:p>
            <w:pPr>
              <w:pStyle w:val="Body"/>
              <w:jc w:val="center"/>
            </w:pPr>
            <w:r>
              <w:rPr>
                <w:b/>
                <w:sz w:val="16"/>
              </w:rPr>
              <w:t>Eval family</w:t>
            </w:r>
          </w:p>
        </w:tc>
        <w:tc>
          <w:tcPr>
            <w:tcW w:type="dxa" w:w="5112"/>
            <w:vAlign w:val="center"/>
            <w:shd w:fill="DDE8F2" w:val="clear" w:color="auto"/>
          </w:tcPr>
          <w:p>
            <w:pPr>
              <w:pStyle w:val="Body"/>
              <w:jc w:val="center"/>
            </w:pPr>
            <w:r>
              <w:rPr>
                <w:b/>
                <w:sz w:val="16"/>
              </w:rPr>
              <w:t>What it checks</w:t>
            </w:r>
          </w:p>
        </w:tc>
        <w:tc>
          <w:tcPr>
            <w:tcW w:type="dxa" w:w="2232"/>
            <w:vAlign w:val="center"/>
            <w:shd w:fill="DDE8F2" w:val="clear" w:color="auto"/>
          </w:tcPr>
          <w:p>
            <w:pPr>
              <w:pStyle w:val="Body"/>
              <w:jc w:val="center"/>
            </w:pPr>
            <w:r>
              <w:rPr>
                <w:b/>
                <w:sz w:val="16"/>
              </w:rPr>
              <w:t>Suggested release threshold</w:t>
            </w:r>
          </w:p>
        </w:tc>
      </w:tr>
      <w:tr>
        <w:tc>
          <w:tcPr>
            <w:tcW w:type="dxa" w:w="1944"/>
            <w:vAlign w:val="center"/>
          </w:tcPr>
          <w:p>
            <w:pPr>
              <w:pStyle w:val="Body"/>
              <w:spacing w:after="60" w:before="40"/>
              <w:jc w:val="left"/>
            </w:pPr>
            <w:r>
              <w:rPr>
                <w:sz w:val="16"/>
              </w:rPr>
              <w:t>Triage evals</w:t>
            </w:r>
          </w:p>
        </w:tc>
        <w:tc>
          <w:tcPr>
            <w:tcW w:type="dxa" w:w="5112"/>
            <w:vAlign w:val="center"/>
          </w:tcPr>
          <w:p>
            <w:pPr>
              <w:pStyle w:val="Body"/>
              <w:spacing w:after="60" w:before="40"/>
              <w:jc w:val="left"/>
            </w:pPr>
            <w:r>
              <w:rPr>
                <w:sz w:val="16"/>
              </w:rPr>
              <w:t>Correct work-item classification, deduplication, and routing</w:t>
            </w:r>
          </w:p>
        </w:tc>
        <w:tc>
          <w:tcPr>
            <w:tcW w:type="dxa" w:w="2232"/>
            <w:vAlign w:val="center"/>
          </w:tcPr>
          <w:p>
            <w:pPr>
              <w:pStyle w:val="Body"/>
              <w:spacing w:after="60" w:before="40"/>
              <w:jc w:val="left"/>
            </w:pPr>
            <w:r>
              <w:rPr>
                <w:sz w:val="16"/>
              </w:rPr>
              <w:t>&gt;= 0.90 weighted accuracy</w:t>
            </w:r>
          </w:p>
        </w:tc>
      </w:tr>
      <w:tr>
        <w:tc>
          <w:tcPr>
            <w:tcW w:type="dxa" w:w="1944"/>
            <w:vAlign w:val="center"/>
          </w:tcPr>
          <w:p>
            <w:pPr>
              <w:pStyle w:val="Body"/>
              <w:spacing w:after="60" w:before="40"/>
              <w:jc w:val="left"/>
            </w:pPr>
            <w:r>
              <w:rPr>
                <w:sz w:val="16"/>
              </w:rPr>
              <w:t>Spec quality evals</w:t>
            </w:r>
          </w:p>
        </w:tc>
        <w:tc>
          <w:tcPr>
            <w:tcW w:type="dxa" w:w="5112"/>
            <w:vAlign w:val="center"/>
          </w:tcPr>
          <w:p>
            <w:pPr>
              <w:pStyle w:val="Body"/>
              <w:spacing w:after="60" w:before="40"/>
              <w:jc w:val="left"/>
            </w:pPr>
            <w:r>
              <w:rPr>
                <w:sz w:val="16"/>
              </w:rPr>
              <w:t>Completeness of acceptance criteria, rollout notes, and open questions</w:t>
            </w:r>
          </w:p>
        </w:tc>
        <w:tc>
          <w:tcPr>
            <w:tcW w:type="dxa" w:w="2232"/>
            <w:vAlign w:val="center"/>
          </w:tcPr>
          <w:p>
            <w:pPr>
              <w:pStyle w:val="Body"/>
              <w:spacing w:after="60" w:before="40"/>
              <w:jc w:val="left"/>
            </w:pPr>
            <w:r>
              <w:rPr>
                <w:sz w:val="16"/>
              </w:rPr>
              <w:t>&gt;= 0.85 reviewer acceptance</w:t>
            </w:r>
          </w:p>
        </w:tc>
      </w:tr>
      <w:tr>
        <w:tc>
          <w:tcPr>
            <w:tcW w:type="dxa" w:w="1944"/>
            <w:vAlign w:val="center"/>
          </w:tcPr>
          <w:p>
            <w:pPr>
              <w:pStyle w:val="Body"/>
              <w:spacing w:after="60" w:before="40"/>
              <w:jc w:val="left"/>
            </w:pPr>
            <w:r>
              <w:rPr>
                <w:sz w:val="16"/>
              </w:rPr>
              <w:t>Planner evals</w:t>
            </w:r>
          </w:p>
        </w:tc>
        <w:tc>
          <w:tcPr>
            <w:tcW w:type="dxa" w:w="5112"/>
            <w:vAlign w:val="center"/>
          </w:tcPr>
          <w:p>
            <w:pPr>
              <w:pStyle w:val="Body"/>
              <w:spacing w:after="60" w:before="40"/>
              <w:jc w:val="left"/>
            </w:pPr>
            <w:r>
              <w:rPr>
                <w:sz w:val="16"/>
              </w:rPr>
              <w:t>Reasonable touched-system prediction and risk surfacing</w:t>
            </w:r>
          </w:p>
        </w:tc>
        <w:tc>
          <w:tcPr>
            <w:tcW w:type="dxa" w:w="2232"/>
            <w:vAlign w:val="center"/>
          </w:tcPr>
          <w:p>
            <w:pPr>
              <w:pStyle w:val="Body"/>
              <w:spacing w:after="60" w:before="40"/>
              <w:jc w:val="left"/>
            </w:pPr>
            <w:r>
              <w:rPr>
                <w:sz w:val="16"/>
              </w:rPr>
              <w:t>&gt;= 0.80 acceptance on reference set</w:t>
            </w:r>
          </w:p>
        </w:tc>
      </w:tr>
      <w:tr>
        <w:tc>
          <w:tcPr>
            <w:tcW w:type="dxa" w:w="1944"/>
            <w:vAlign w:val="center"/>
          </w:tcPr>
          <w:p>
            <w:pPr>
              <w:pStyle w:val="Body"/>
              <w:spacing w:after="60" w:before="40"/>
              <w:jc w:val="left"/>
            </w:pPr>
            <w:r>
              <w:rPr>
                <w:sz w:val="16"/>
              </w:rPr>
              <w:t>Build-policy evals</w:t>
            </w:r>
          </w:p>
        </w:tc>
        <w:tc>
          <w:tcPr>
            <w:tcW w:type="dxa" w:w="5112"/>
            <w:vAlign w:val="center"/>
          </w:tcPr>
          <w:p>
            <w:pPr>
              <w:pStyle w:val="Body"/>
              <w:spacing w:after="60" w:before="40"/>
              <w:jc w:val="left"/>
            </w:pPr>
            <w:r>
              <w:rPr>
                <w:sz w:val="16"/>
              </w:rPr>
              <w:t>No protected-branch writes, proper PR linkage, safe retries</w:t>
            </w:r>
          </w:p>
        </w:tc>
        <w:tc>
          <w:tcPr>
            <w:tcW w:type="dxa" w:w="2232"/>
            <w:vAlign w:val="center"/>
          </w:tcPr>
          <w:p>
            <w:pPr>
              <w:pStyle w:val="Body"/>
              <w:spacing w:after="60" w:before="40"/>
              <w:jc w:val="left"/>
            </w:pPr>
            <w:r>
              <w:rPr>
                <w:sz w:val="16"/>
              </w:rPr>
              <w:t>100% pass on policy tests</w:t>
            </w:r>
          </w:p>
        </w:tc>
      </w:tr>
      <w:tr>
        <w:tc>
          <w:tcPr>
            <w:tcW w:type="dxa" w:w="1944"/>
            <w:vAlign w:val="center"/>
          </w:tcPr>
          <w:p>
            <w:pPr>
              <w:pStyle w:val="Body"/>
              <w:spacing w:after="60" w:before="40"/>
              <w:jc w:val="left"/>
            </w:pPr>
            <w:r>
              <w:rPr>
                <w:sz w:val="16"/>
              </w:rPr>
              <w:t>AI regression evals</w:t>
            </w:r>
          </w:p>
        </w:tc>
        <w:tc>
          <w:tcPr>
            <w:tcW w:type="dxa" w:w="5112"/>
            <w:vAlign w:val="center"/>
          </w:tcPr>
          <w:p>
            <w:pPr>
              <w:pStyle w:val="Body"/>
              <w:spacing w:after="60" w:before="40"/>
              <w:jc w:val="left"/>
            </w:pPr>
            <w:r>
              <w:rPr>
                <w:sz w:val="16"/>
              </w:rPr>
              <w:t>Prompt/model/tool behavior against gold sets and prior failures</w:t>
            </w:r>
          </w:p>
        </w:tc>
        <w:tc>
          <w:tcPr>
            <w:tcW w:type="dxa" w:w="2232"/>
            <w:vAlign w:val="center"/>
          </w:tcPr>
          <w:p>
            <w:pPr>
              <w:pStyle w:val="Body"/>
              <w:spacing w:after="60" w:before="40"/>
              <w:jc w:val="left"/>
            </w:pPr>
            <w:r>
              <w:rPr>
                <w:sz w:val="16"/>
              </w:rPr>
              <w:t>No critical failures on required suites</w:t>
            </w:r>
          </w:p>
        </w:tc>
      </w:tr>
      <w:tr>
        <w:tc>
          <w:tcPr>
            <w:tcW w:type="dxa" w:w="1944"/>
            <w:vAlign w:val="center"/>
          </w:tcPr>
          <w:p>
            <w:pPr>
              <w:pStyle w:val="Body"/>
              <w:spacing w:after="60" w:before="40"/>
              <w:jc w:val="left"/>
            </w:pPr>
            <w:r>
              <w:rPr>
                <w:sz w:val="16"/>
              </w:rPr>
              <w:t>Release readiness evals</w:t>
            </w:r>
          </w:p>
        </w:tc>
        <w:tc>
          <w:tcPr>
            <w:tcW w:type="dxa" w:w="5112"/>
            <w:vAlign w:val="center"/>
          </w:tcPr>
          <w:p>
            <w:pPr>
              <w:pStyle w:val="Body"/>
              <w:spacing w:after="60" w:before="40"/>
              <w:jc w:val="left"/>
            </w:pPr>
            <w:r>
              <w:rPr>
                <w:sz w:val="16"/>
              </w:rPr>
              <w:t>Presence of rollback plan, approvals, and deployment metadata</w:t>
            </w:r>
          </w:p>
        </w:tc>
        <w:tc>
          <w:tcPr>
            <w:tcW w:type="dxa" w:w="2232"/>
            <w:vAlign w:val="center"/>
          </w:tcPr>
          <w:p>
            <w:pPr>
              <w:pStyle w:val="Body"/>
              <w:spacing w:after="60" w:before="40"/>
              <w:jc w:val="left"/>
            </w:pPr>
            <w:r>
              <w:rPr>
                <w:sz w:val="16"/>
              </w:rPr>
              <w:t>100% on required checklist items</w:t>
            </w:r>
          </w:p>
        </w:tc>
      </w:tr>
      <w:tr>
        <w:tc>
          <w:tcPr>
            <w:tcW w:type="dxa" w:w="1944"/>
            <w:vAlign w:val="center"/>
          </w:tcPr>
          <w:p>
            <w:pPr>
              <w:pStyle w:val="Body"/>
              <w:spacing w:after="60" w:before="40"/>
              <w:jc w:val="left"/>
            </w:pPr>
            <w:r>
              <w:rPr>
                <w:sz w:val="16"/>
              </w:rPr>
              <w:t>Incident learning evals</w:t>
            </w:r>
          </w:p>
        </w:tc>
        <w:tc>
          <w:tcPr>
            <w:tcW w:type="dxa" w:w="5112"/>
            <w:vAlign w:val="center"/>
          </w:tcPr>
          <w:p>
            <w:pPr>
              <w:pStyle w:val="Body"/>
              <w:spacing w:after="60" w:before="40"/>
              <w:jc w:val="left"/>
            </w:pPr>
            <w:r>
              <w:rPr>
                <w:sz w:val="16"/>
              </w:rPr>
              <w:t>Quality of evidence linking and conversion to regression cases</w:t>
            </w:r>
          </w:p>
        </w:tc>
        <w:tc>
          <w:tcPr>
            <w:tcW w:type="dxa" w:w="2232"/>
            <w:vAlign w:val="center"/>
          </w:tcPr>
          <w:p>
            <w:pPr>
              <w:pStyle w:val="Body"/>
              <w:spacing w:after="60" w:before="40"/>
              <w:jc w:val="left"/>
            </w:pPr>
            <w:r>
              <w:rPr>
                <w:sz w:val="16"/>
              </w:rPr>
              <w:t>&gt;= 0.85 reviewer acceptance</w:t>
            </w:r>
          </w:p>
        </w:tc>
      </w:tr>
    </w:tbl>
    <w:p/>
    <w:p>
      <w:pPr>
        <w:pStyle w:val="Bullet1"/>
        <w:spacing w:after="60"/>
        <w:ind w:left="288"/>
      </w:pPr>
      <w:r>
        <w:t>Any change that touches prompts, model routes, agent tools, or safety policies must map to an eval gate profile before release.</w:t>
      </w:r>
    </w:p>
    <w:p>
      <w:pPr>
        <w:pStyle w:val="Bullet1"/>
        <w:spacing w:after="60"/>
        <w:ind w:left="288"/>
      </w:pPr>
      <w:r>
        <w:t>Gate overrides require a named approver and a recorded reason.</w:t>
      </w:r>
    </w:p>
    <w:p>
      <w:pPr>
        <w:pStyle w:val="Bullet1"/>
        <w:spacing w:after="60"/>
        <w:ind w:left="288"/>
      </w:pPr>
      <w:r>
        <w:t>Every escaped production failure should create either a new test, a new eval case, or a policy rule update.</w:t>
      </w:r>
    </w:p>
    <w:p>
      <w:pPr>
        <w:pStyle w:val="RuhHeading1"/>
        <w:keepNext/>
        <w:spacing w:before="320" w:after="160"/>
      </w:pPr>
      <w:r>
        <w:t>11. MVP deployment plan for the reference pack</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1872"/>
            <w:vAlign w:val="center"/>
            <w:shd w:fill="DDE8F2" w:val="clear" w:color="auto"/>
          </w:tcPr>
          <w:p>
            <w:pPr>
              <w:pStyle w:val="Body"/>
              <w:jc w:val="center"/>
            </w:pPr>
            <w:r>
              <w:rPr>
                <w:b/>
                <w:sz w:val="17"/>
              </w:rPr>
              <w:t>Phase</w:t>
            </w:r>
          </w:p>
        </w:tc>
        <w:tc>
          <w:tcPr>
            <w:tcW w:type="dxa" w:w="4536"/>
            <w:vAlign w:val="center"/>
            <w:shd w:fill="DDE8F2" w:val="clear" w:color="auto"/>
          </w:tcPr>
          <w:p>
            <w:pPr>
              <w:pStyle w:val="Body"/>
              <w:jc w:val="center"/>
            </w:pPr>
            <w:r>
              <w:rPr>
                <w:b/>
                <w:sz w:val="17"/>
              </w:rPr>
              <w:t>What ships</w:t>
            </w:r>
          </w:p>
        </w:tc>
        <w:tc>
          <w:tcPr>
            <w:tcW w:type="dxa" w:w="2951"/>
            <w:vAlign w:val="center"/>
            <w:shd w:fill="DDE8F2" w:val="clear" w:color="auto"/>
          </w:tcPr>
          <w:p>
            <w:pPr>
              <w:pStyle w:val="Body"/>
              <w:jc w:val="center"/>
            </w:pPr>
            <w:r>
              <w:rPr>
                <w:b/>
                <w:sz w:val="17"/>
              </w:rPr>
              <w:t>Definition of success</w:t>
            </w:r>
          </w:p>
        </w:tc>
      </w:tr>
      <w:tr>
        <w:tc>
          <w:tcPr>
            <w:tcW w:type="dxa" w:w="1872"/>
            <w:vAlign w:val="center"/>
          </w:tcPr>
          <w:p>
            <w:pPr>
              <w:pStyle w:val="Body"/>
              <w:spacing w:after="60" w:before="40"/>
              <w:jc w:val="left"/>
            </w:pPr>
            <w:r>
              <w:rPr>
                <w:sz w:val="17"/>
              </w:rPr>
              <w:t>Phase 1 - operating spine</w:t>
            </w:r>
          </w:p>
        </w:tc>
        <w:tc>
          <w:tcPr>
            <w:tcW w:type="dxa" w:w="4536"/>
            <w:vAlign w:val="center"/>
          </w:tcPr>
          <w:p>
            <w:pPr>
              <w:pStyle w:val="Body"/>
              <w:spacing w:after="60" w:before="40"/>
              <w:jc w:val="left"/>
            </w:pPr>
            <w:r>
              <w:rPr>
                <w:sz w:val="17"/>
              </w:rPr>
              <w:t>Workspace setup, issue/repo/docs/chat connectors, intake &amp; triage, spec employee</w:t>
            </w:r>
          </w:p>
        </w:tc>
        <w:tc>
          <w:tcPr>
            <w:tcW w:type="dxa" w:w="2951"/>
            <w:vAlign w:val="center"/>
          </w:tcPr>
          <w:p>
            <w:pPr>
              <w:pStyle w:val="Body"/>
              <w:spacing w:after="60" w:before="40"/>
              <w:jc w:val="left"/>
            </w:pPr>
            <w:r>
              <w:rPr>
                <w:sz w:val="17"/>
              </w:rPr>
              <w:t>Requests arrive as clean work items with usable draft specs.</w:t>
            </w:r>
          </w:p>
        </w:tc>
      </w:tr>
      <w:tr>
        <w:tc>
          <w:tcPr>
            <w:tcW w:type="dxa" w:w="1872"/>
            <w:vAlign w:val="center"/>
          </w:tcPr>
          <w:p>
            <w:pPr>
              <w:pStyle w:val="Body"/>
              <w:spacing w:after="60" w:before="40"/>
              <w:jc w:val="left"/>
            </w:pPr>
            <w:r>
              <w:rPr>
                <w:sz w:val="17"/>
              </w:rPr>
              <w:t>Phase 2 - execution loop</w:t>
            </w:r>
          </w:p>
        </w:tc>
        <w:tc>
          <w:tcPr>
            <w:tcW w:type="dxa" w:w="4536"/>
            <w:vAlign w:val="center"/>
          </w:tcPr>
          <w:p>
            <w:pPr>
              <w:pStyle w:val="Body"/>
              <w:spacing w:after="60" w:before="40"/>
              <w:jc w:val="left"/>
            </w:pPr>
            <w:r>
              <w:rPr>
                <w:sz w:val="17"/>
              </w:rPr>
              <w:t>Architecture planner, builder orchestrator, PR linkage, CI hooks</w:t>
            </w:r>
          </w:p>
        </w:tc>
        <w:tc>
          <w:tcPr>
            <w:tcW w:type="dxa" w:w="2951"/>
            <w:vAlign w:val="center"/>
          </w:tcPr>
          <w:p>
            <w:pPr>
              <w:pStyle w:val="Body"/>
              <w:spacing w:after="60" w:before="40"/>
              <w:jc w:val="left"/>
            </w:pPr>
            <w:r>
              <w:rPr>
                <w:sz w:val="17"/>
              </w:rPr>
              <w:t>Approved work regularly turns into reviewable PRs with context attached.</w:t>
            </w:r>
          </w:p>
        </w:tc>
      </w:tr>
      <w:tr>
        <w:tc>
          <w:tcPr>
            <w:tcW w:type="dxa" w:w="1872"/>
            <w:vAlign w:val="center"/>
          </w:tcPr>
          <w:p>
            <w:pPr>
              <w:pStyle w:val="Body"/>
              <w:spacing w:after="60" w:before="40"/>
              <w:jc w:val="left"/>
            </w:pPr>
            <w:r>
              <w:rPr>
                <w:sz w:val="17"/>
              </w:rPr>
              <w:t>Phase 3 - quality gates</w:t>
            </w:r>
          </w:p>
        </w:tc>
        <w:tc>
          <w:tcPr>
            <w:tcW w:type="dxa" w:w="4536"/>
            <w:vAlign w:val="center"/>
          </w:tcPr>
          <w:p>
            <w:pPr>
              <w:pStyle w:val="Body"/>
              <w:spacing w:after="60" w:before="40"/>
              <w:jc w:val="left"/>
            </w:pPr>
            <w:r>
              <w:rPr>
                <w:sz w:val="17"/>
              </w:rPr>
              <w:t>QA &amp; evals, eval registry, regression generation, approval UX</w:t>
            </w:r>
          </w:p>
        </w:tc>
        <w:tc>
          <w:tcPr>
            <w:tcW w:type="dxa" w:w="2951"/>
            <w:vAlign w:val="center"/>
          </w:tcPr>
          <w:p>
            <w:pPr>
              <w:pStyle w:val="Body"/>
              <w:spacing w:after="60" w:before="40"/>
              <w:jc w:val="left"/>
            </w:pPr>
            <w:r>
              <w:rPr>
                <w:sz w:val="17"/>
              </w:rPr>
              <w:t>Risky changes are blocked before release and failures create reusable evals.</w:t>
            </w:r>
          </w:p>
        </w:tc>
      </w:tr>
      <w:tr>
        <w:tc>
          <w:tcPr>
            <w:tcW w:type="dxa" w:w="1872"/>
            <w:vAlign w:val="center"/>
          </w:tcPr>
          <w:p>
            <w:pPr>
              <w:pStyle w:val="Body"/>
              <w:spacing w:after="60" w:before="40"/>
              <w:jc w:val="left"/>
            </w:pPr>
            <w:r>
              <w:rPr>
                <w:sz w:val="17"/>
              </w:rPr>
              <w:t>Phase 4 - release and learning</w:t>
            </w:r>
          </w:p>
        </w:tc>
        <w:tc>
          <w:tcPr>
            <w:tcW w:type="dxa" w:w="4536"/>
            <w:vAlign w:val="center"/>
          </w:tcPr>
          <w:p>
            <w:pPr>
              <w:pStyle w:val="Body"/>
              <w:spacing w:after="60" w:before="40"/>
              <w:jc w:val="left"/>
            </w:pPr>
            <w:r>
              <w:rPr>
                <w:sz w:val="17"/>
              </w:rPr>
              <w:t>Review &amp; release, incident &amp; feedback, dashboarding, overlay hardening</w:t>
            </w:r>
          </w:p>
        </w:tc>
        <w:tc>
          <w:tcPr>
            <w:tcW w:type="dxa" w:w="2951"/>
            <w:vAlign w:val="center"/>
          </w:tcPr>
          <w:p>
            <w:pPr>
              <w:pStyle w:val="Body"/>
              <w:spacing w:after="60" w:before="40"/>
              <w:jc w:val="left"/>
            </w:pPr>
            <w:r>
              <w:rPr>
                <w:sz w:val="17"/>
              </w:rPr>
              <w:t>Release prep shrinks and production failures feed the conveyor.</w:t>
            </w:r>
          </w:p>
        </w:tc>
      </w:tr>
    </w:tbl>
    <w:p/>
    <w:tbl>
      <w:tblPr>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10166"/>
      </w:tblGrid>
      <w:tr>
        <w:tc>
          <w:tcPr>
            <w:tcW w:type="dxa" w:w="9648"/>
            <w:shd w:fill="E4F2EB" w:val="clear" w:color="auto"/>
            <w:vAlign w:val="center"/>
          </w:tcPr>
          <w:p>
            <w:pPr>
              <w:pStyle w:val="Body"/>
              <w:spacing w:after="80"/>
            </w:pPr>
            <w:r/>
            <w:r>
              <w:rPr>
                <w:b/>
              </w:rPr>
              <w:t>Pilot success metrics</w:t>
            </w:r>
          </w:p>
          <w:p>
            <w:pPr>
              <w:pStyle w:val="Bullet1"/>
              <w:spacing w:after="40"/>
              <w:ind w:left="216"/>
            </w:pPr>
            <w:r>
              <w:t>Reduction in time from signal arrival to an owned, reviewable work item.</w:t>
            </w:r>
          </w:p>
          <w:p>
            <w:pPr>
              <w:pStyle w:val="Bullet1"/>
              <w:spacing w:after="40"/>
              <w:ind w:left="216"/>
            </w:pPr>
            <w:r>
              <w:t>Reduction in spec-to-PR cycle time for approved work.</w:t>
            </w:r>
          </w:p>
          <w:p>
            <w:pPr>
              <w:pStyle w:val="Bullet1"/>
              <w:spacing w:after="40"/>
              <w:ind w:left="216"/>
            </w:pPr>
            <w:r>
              <w:t>Increase in eval coverage for AI behavior changes.</w:t>
            </w:r>
          </w:p>
          <w:p>
            <w:pPr>
              <w:pStyle w:val="Bullet1"/>
              <w:spacing w:after="40"/>
              <w:ind w:left="216"/>
            </w:pPr>
            <w:r>
              <w:t>Reduction in escaped regressions and faster incident-to-RCA turnaround.</w:t>
            </w:r>
          </w:p>
        </w:tc>
      </w:tr>
    </w:tbl>
    <w:p/>
    <w:p>
      <w:pPr>
        <w:pStyle w:val="RuhHeading1"/>
        <w:keepNext/>
        <w:spacing w:before="320" w:after="160"/>
      </w:pPr>
      <w:r>
        <w:t>12. Example manifest and overlay excerpts</w:t>
      </w:r>
    </w:p>
    <w:p>
      <w:pPr>
        <w:pStyle w:val="RuhHeading2"/>
        <w:keepNext/>
        <w:spacing w:before="200" w:after="120"/>
      </w:pPr>
      <w:r>
        <w:t>12.1 Manifest excerpt</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id: ref.ai.buildops</w:t>
            </w:r>
          </w:p>
          <w:p>
            <w:pPr>
              <w:pStyle w:val="Body"/>
              <w:spacing w:after="0" w:before="0"/>
            </w:pPr>
            <w:r>
              <w:rPr>
                <w:rFonts w:ascii="Courier New" w:hAnsi="Courier New"/>
                <w:sz w:val="17"/>
              </w:rPr>
              <w:t>version: 1.0.0</w:t>
            </w:r>
          </w:p>
          <w:p>
            <w:pPr>
              <w:pStyle w:val="Body"/>
              <w:spacing w:after="0" w:before="0"/>
            </w:pPr>
            <w:r>
              <w:rPr>
                <w:rFonts w:ascii="Courier New" w:hAnsi="Courier New"/>
                <w:sz w:val="17"/>
              </w:rPr>
              <w:t>packType: function-reference</w:t>
            </w:r>
          </w:p>
          <w:p>
            <w:pPr>
              <w:pStyle w:val="Body"/>
              <w:spacing w:after="0" w:before="0"/>
            </w:pPr>
            <w:r>
              <w:rPr>
                <w:rFonts w:ascii="Courier New" w:hAnsi="Courier New"/>
                <w:sz w:val="17"/>
              </w:rPr>
              <w:t>dependsOn:</w:t>
            </w:r>
          </w:p>
          <w:p>
            <w:pPr>
              <w:pStyle w:val="Body"/>
              <w:spacing w:after="0" w:before="0"/>
            </w:pPr>
            <w:r>
              <w:rPr>
                <w:rFonts w:ascii="Courier New" w:hAnsi="Courier New"/>
                <w:sz w:val="17"/>
              </w:rPr>
              <w:t xml:space="preserve">  - ruh.foundation.runtime@^1.0</w:t>
            </w:r>
          </w:p>
          <w:p>
            <w:pPr>
              <w:pStyle w:val="Body"/>
              <w:spacing w:after="0" w:before="0"/>
            </w:pPr>
            <w:r>
              <w:rPr>
                <w:rFonts w:ascii="Courier New" w:hAnsi="Courier New"/>
                <w:sz w:val="17"/>
              </w:rPr>
              <w:t xml:space="preserve">  - ruh.foundation.approvals@^1.0</w:t>
            </w:r>
          </w:p>
          <w:p>
            <w:pPr>
              <w:pStyle w:val="Body"/>
              <w:spacing w:after="0" w:before="0"/>
            </w:pPr>
            <w:r>
              <w:rPr>
                <w:rFonts w:ascii="Courier New" w:hAnsi="Courier New"/>
                <w:sz w:val="17"/>
              </w:rPr>
              <w:t xml:space="preserve">  - ruh.foundation.code@^1.0</w:t>
            </w:r>
          </w:p>
          <w:p>
            <w:pPr>
              <w:pStyle w:val="Body"/>
              <w:spacing w:after="0" w:before="0"/>
            </w:pPr>
            <w:r>
              <w:rPr>
                <w:rFonts w:ascii="Courier New" w:hAnsi="Courier New"/>
                <w:sz w:val="17"/>
              </w:rPr>
              <w:t>exports:</w:t>
            </w:r>
          </w:p>
          <w:p>
            <w:pPr>
              <w:pStyle w:val="Body"/>
              <w:spacing w:after="0" w:before="0"/>
            </w:pPr>
            <w:r>
              <w:rPr>
                <w:rFonts w:ascii="Courier New" w:hAnsi="Courier New"/>
                <w:sz w:val="17"/>
              </w:rPr>
              <w:t xml:space="preserve">  employeeTemplates:</w:t>
            </w:r>
          </w:p>
          <w:p>
            <w:pPr>
              <w:pStyle w:val="Body"/>
              <w:spacing w:after="0" w:before="0"/>
            </w:pPr>
            <w:r>
              <w:rPr>
                <w:rFonts w:ascii="Courier New" w:hAnsi="Courier New"/>
                <w:sz w:val="17"/>
              </w:rPr>
              <w:t xml:space="preserve">    - buildops.intake-triage.v1</w:t>
            </w:r>
          </w:p>
          <w:p>
            <w:pPr>
              <w:pStyle w:val="Body"/>
              <w:spacing w:after="0" w:before="0"/>
            </w:pPr>
            <w:r>
              <w:rPr>
                <w:rFonts w:ascii="Courier New" w:hAnsi="Courier New"/>
                <w:sz w:val="17"/>
              </w:rPr>
              <w:t xml:space="preserve">    - buildops.spec-employee.v1</w:t>
            </w:r>
          </w:p>
          <w:p>
            <w:pPr>
              <w:pStyle w:val="Body"/>
              <w:spacing w:after="0" w:before="0"/>
            </w:pPr>
            <w:r>
              <w:rPr>
                <w:rFonts w:ascii="Courier New" w:hAnsi="Courier New"/>
                <w:sz w:val="17"/>
              </w:rPr>
              <w:t xml:space="preserve">    - buildops.architecture-planner.v1</w:t>
            </w:r>
          </w:p>
          <w:p>
            <w:pPr>
              <w:pStyle w:val="Body"/>
              <w:spacing w:after="0" w:before="0"/>
            </w:pPr>
            <w:r>
              <w:rPr>
                <w:rFonts w:ascii="Courier New" w:hAnsi="Courier New"/>
                <w:sz w:val="17"/>
              </w:rPr>
              <w:t xml:space="preserve">    - buildops.builder-orchestrator.v1</w:t>
            </w:r>
          </w:p>
          <w:p>
            <w:pPr>
              <w:pStyle w:val="Body"/>
              <w:spacing w:after="0" w:before="0"/>
            </w:pPr>
            <w:r>
              <w:rPr>
                <w:rFonts w:ascii="Courier New" w:hAnsi="Courier New"/>
                <w:sz w:val="17"/>
              </w:rPr>
              <w:t xml:space="preserve">    - buildops.qa-evals.v1</w:t>
            </w:r>
          </w:p>
          <w:p>
            <w:pPr>
              <w:pStyle w:val="Body"/>
              <w:spacing w:after="0" w:before="0"/>
            </w:pPr>
            <w:r>
              <w:rPr>
                <w:rFonts w:ascii="Courier New" w:hAnsi="Courier New"/>
                <w:sz w:val="17"/>
              </w:rPr>
              <w:t xml:space="preserve">    - buildops.review-release.v1</w:t>
            </w:r>
          </w:p>
          <w:p>
            <w:pPr>
              <w:pStyle w:val="Body"/>
              <w:spacing w:after="0" w:before="0"/>
            </w:pPr>
            <w:r>
              <w:rPr>
                <w:rFonts w:ascii="Courier New" w:hAnsi="Courier New"/>
                <w:sz w:val="17"/>
              </w:rPr>
              <w:t xml:space="preserve">    - buildops.incident-feedback.v1</w:t>
            </w:r>
          </w:p>
          <w:p>
            <w:pPr>
              <w:pStyle w:val="Body"/>
              <w:spacing w:after="0" w:before="0"/>
            </w:pPr>
            <w:r>
              <w:rPr>
                <w:rFonts w:ascii="Courier New" w:hAnsi="Courier New"/>
                <w:sz w:val="17"/>
              </w:rPr>
              <w:t xml:space="preserve">  workflowTemplates:</w:t>
            </w:r>
          </w:p>
          <w:p>
            <w:pPr>
              <w:pStyle w:val="Body"/>
              <w:spacing w:after="0" w:before="0"/>
            </w:pPr>
            <w:r>
              <w:rPr>
                <w:rFonts w:ascii="Courier New" w:hAnsi="Courier New"/>
                <w:sz w:val="17"/>
              </w:rPr>
              <w:t xml:space="preserve">    - buildops.signal-intake.v1</w:t>
            </w:r>
          </w:p>
          <w:p>
            <w:pPr>
              <w:pStyle w:val="Body"/>
              <w:spacing w:after="0" w:before="0"/>
            </w:pPr>
            <w:r>
              <w:rPr>
                <w:rFonts w:ascii="Courier New" w:hAnsi="Courier New"/>
                <w:sz w:val="17"/>
              </w:rPr>
              <w:t xml:space="preserve">    - buildops.spec-generation.v1</w:t>
            </w:r>
          </w:p>
          <w:p>
            <w:pPr>
              <w:pStyle w:val="Body"/>
              <w:spacing w:after="0" w:before="0"/>
            </w:pPr>
            <w:r>
              <w:rPr>
                <w:rFonts w:ascii="Courier New" w:hAnsi="Courier New"/>
                <w:sz w:val="17"/>
              </w:rPr>
              <w:t xml:space="preserve">    - buildops.architecture-plan.v1</w:t>
            </w:r>
          </w:p>
          <w:p>
            <w:pPr>
              <w:pStyle w:val="Body"/>
              <w:spacing w:after="0" w:before="0"/>
            </w:pPr>
            <w:r>
              <w:rPr>
                <w:rFonts w:ascii="Courier New" w:hAnsi="Courier New"/>
                <w:sz w:val="17"/>
              </w:rPr>
              <w:t xml:space="preserve">    - buildops.build-orchestration.v1</w:t>
            </w:r>
          </w:p>
          <w:p>
            <w:pPr>
              <w:pStyle w:val="Body"/>
              <w:spacing w:after="0" w:before="0"/>
            </w:pPr>
            <w:r>
              <w:rPr>
                <w:rFonts w:ascii="Courier New" w:hAnsi="Courier New"/>
                <w:sz w:val="17"/>
              </w:rPr>
              <w:t xml:space="preserve">    - buildops.eval-gating.v1</w:t>
            </w:r>
          </w:p>
          <w:p>
            <w:pPr>
              <w:pStyle w:val="Body"/>
              <w:spacing w:after="0" w:before="0"/>
            </w:pPr>
            <w:r>
              <w:rPr>
                <w:rFonts w:ascii="Courier New" w:hAnsi="Courier New"/>
                <w:sz w:val="17"/>
              </w:rPr>
              <w:t xml:space="preserve">    - buildops.release-prep.v1</w:t>
            </w:r>
          </w:p>
          <w:p>
            <w:pPr>
              <w:pStyle w:val="Body"/>
              <w:spacing w:after="0" w:before="0"/>
            </w:pPr>
            <w:r>
              <w:rPr>
                <w:rFonts w:ascii="Courier New" w:hAnsi="Courier New"/>
                <w:sz w:val="17"/>
              </w:rPr>
              <w:t xml:space="preserve">    - buildops.incident-learning.v1</w:t>
            </w:r>
          </w:p>
          <w:p>
            <w:pPr>
              <w:pStyle w:val="Body"/>
              <w:spacing w:after="0" w:before="0"/>
            </w:pPr>
            <w:r>
              <w:rPr>
                <w:rFonts w:ascii="Courier New" w:hAnsi="Courier New"/>
                <w:sz w:val="17"/>
              </w:rPr>
              <w:t>defaultPolicyProfile: ai-buildops-default</w:t>
            </w:r>
          </w:p>
          <w:p>
            <w:pPr>
              <w:pStyle w:val="Body"/>
              <w:spacing w:after="0" w:before="0"/>
            </w:pPr>
            <w:r>
              <w:rPr>
                <w:rFonts w:ascii="Courier New" w:hAnsi="Courier New"/>
                <w:sz w:val="17"/>
              </w:rPr>
              <w:t>defaultEvalSuite: ai-buildops-core</w:t>
            </w:r>
          </w:p>
        </w:tc>
      </w:tr>
    </w:tbl>
    <w:p/>
    <w:p>
      <w:pPr>
        <w:pStyle w:val="RuhHeading2"/>
        <w:keepNext/>
        <w:spacing w:before="200" w:after="120"/>
      </w:pPr>
      <w:r>
        <w:t>12.2 Tenant overlay excerpt</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tenant:</w:t>
            </w:r>
          </w:p>
          <w:p>
            <w:pPr>
              <w:pStyle w:val="Body"/>
              <w:spacing w:after="0" w:before="0"/>
            </w:pPr>
            <w:r>
              <w:rPr>
                <w:rFonts w:ascii="Courier New" w:hAnsi="Courier New"/>
                <w:sz w:val="17"/>
              </w:rPr>
              <w:t xml:space="preserve">  name: "Sample AI Product Co"</w:t>
            </w:r>
          </w:p>
          <w:p>
            <w:pPr>
              <w:pStyle w:val="Body"/>
              <w:spacing w:after="0" w:before="0"/>
            </w:pPr>
            <w:r>
              <w:rPr>
                <w:rFonts w:ascii="Courier New" w:hAnsi="Courier New"/>
                <w:sz w:val="17"/>
              </w:rPr>
              <w:t xml:space="preserve">  workspaceMode: per-product</w:t>
            </w:r>
          </w:p>
          <w:p>
            <w:pPr>
              <w:pStyle w:val="Body"/>
              <w:spacing w:after="0" w:before="0"/>
            </w:pPr>
            <w:r>
              <w:rPr>
                <w:rFonts w:ascii="Courier New" w:hAnsi="Courier New"/>
                <w:sz w:val="17"/>
              </w:rPr>
              <w:t>providers:</w:t>
            </w:r>
          </w:p>
          <w:p>
            <w:pPr>
              <w:pStyle w:val="Body"/>
              <w:spacing w:after="0" w:before="0"/>
            </w:pPr>
            <w:r>
              <w:rPr>
                <w:rFonts w:ascii="Courier New" w:hAnsi="Courier New"/>
                <w:sz w:val="17"/>
              </w:rPr>
              <w:t xml:space="preserve">  issueTracker:</w:t>
            </w:r>
          </w:p>
          <w:p>
            <w:pPr>
              <w:pStyle w:val="Body"/>
              <w:spacing w:after="0" w:before="0"/>
            </w:pPr>
            <w:r>
              <w:rPr>
                <w:rFonts w:ascii="Courier New" w:hAnsi="Courier New"/>
                <w:sz w:val="17"/>
              </w:rPr>
              <w:t xml:space="preserve">    adapter: linear</w:t>
            </w:r>
          </w:p>
          <w:p>
            <w:pPr>
              <w:pStyle w:val="Body"/>
              <w:spacing w:after="0" w:before="0"/>
            </w:pPr>
            <w:r>
              <w:rPr>
                <w:rFonts w:ascii="Courier New" w:hAnsi="Courier New"/>
                <w:sz w:val="17"/>
              </w:rPr>
              <w:t xml:space="preserve">  repo:</w:t>
            </w:r>
          </w:p>
          <w:p>
            <w:pPr>
              <w:pStyle w:val="Body"/>
              <w:spacing w:after="0" w:before="0"/>
            </w:pPr>
            <w:r>
              <w:rPr>
                <w:rFonts w:ascii="Courier New" w:hAnsi="Courier New"/>
                <w:sz w:val="17"/>
              </w:rPr>
              <w:t xml:space="preserve">    adapter: github</w:t>
            </w:r>
          </w:p>
          <w:p>
            <w:pPr>
              <w:pStyle w:val="Body"/>
              <w:spacing w:after="0" w:before="0"/>
            </w:pPr>
            <w:r>
              <w:rPr>
                <w:rFonts w:ascii="Courier New" w:hAnsi="Courier New"/>
                <w:sz w:val="17"/>
              </w:rPr>
              <w:t xml:space="preserve">  docs:</w:t>
            </w:r>
          </w:p>
          <w:p>
            <w:pPr>
              <w:pStyle w:val="Body"/>
              <w:spacing w:after="0" w:before="0"/>
            </w:pPr>
            <w:r>
              <w:rPr>
                <w:rFonts w:ascii="Courier New" w:hAnsi="Courier New"/>
                <w:sz w:val="17"/>
              </w:rPr>
              <w:t xml:space="preserve">    adapter: notion</w:t>
            </w:r>
          </w:p>
          <w:p>
            <w:pPr>
              <w:pStyle w:val="Body"/>
              <w:spacing w:after="0" w:before="0"/>
            </w:pPr>
            <w:r>
              <w:rPr>
                <w:rFonts w:ascii="Courier New" w:hAnsi="Courier New"/>
                <w:sz w:val="17"/>
              </w:rPr>
              <w:t xml:space="preserve">  messaging:</w:t>
            </w:r>
          </w:p>
          <w:p>
            <w:pPr>
              <w:pStyle w:val="Body"/>
              <w:spacing w:after="0" w:before="0"/>
            </w:pPr>
            <w:r>
              <w:rPr>
                <w:rFonts w:ascii="Courier New" w:hAnsi="Courier New"/>
                <w:sz w:val="17"/>
              </w:rPr>
              <w:t xml:space="preserve">    teamChat: slack</w:t>
            </w:r>
          </w:p>
          <w:p>
            <w:pPr>
              <w:pStyle w:val="Body"/>
              <w:spacing w:after="0" w:before="0"/>
            </w:pPr>
            <w:r>
              <w:rPr>
                <w:rFonts w:ascii="Courier New" w:hAnsi="Courier New"/>
                <w:sz w:val="17"/>
              </w:rPr>
              <w:t xml:space="preserve">  ci:</w:t>
            </w:r>
          </w:p>
          <w:p>
            <w:pPr>
              <w:pStyle w:val="Body"/>
              <w:spacing w:after="0" w:before="0"/>
            </w:pPr>
            <w:r>
              <w:rPr>
                <w:rFonts w:ascii="Courier New" w:hAnsi="Courier New"/>
                <w:sz w:val="17"/>
              </w:rPr>
              <w:t xml:space="preserve">    adapter: github-actions</w:t>
            </w:r>
          </w:p>
          <w:p>
            <w:pPr>
              <w:pStyle w:val="Body"/>
              <w:spacing w:after="0" w:before="0"/>
            </w:pPr>
            <w:r>
              <w:rPr>
                <w:rFonts w:ascii="Courier New" w:hAnsi="Courier New"/>
                <w:sz w:val="17"/>
              </w:rPr>
              <w:t xml:space="preserve">  observability:</w:t>
            </w:r>
          </w:p>
          <w:p>
            <w:pPr>
              <w:pStyle w:val="Body"/>
              <w:spacing w:after="0" w:before="0"/>
            </w:pPr>
            <w:r>
              <w:rPr>
                <w:rFonts w:ascii="Courier New" w:hAnsi="Courier New"/>
                <w:sz w:val="17"/>
              </w:rPr>
              <w:t xml:space="preserve">    adapter: sentry</w:t>
            </w:r>
          </w:p>
          <w:p>
            <w:pPr>
              <w:pStyle w:val="Body"/>
              <w:spacing w:after="0" w:before="0"/>
            </w:pPr>
            <w:r>
              <w:rPr>
                <w:rFonts w:ascii="Courier New" w:hAnsi="Courier New"/>
                <w:sz w:val="17"/>
              </w:rPr>
              <w:t>policies:</w:t>
            </w:r>
          </w:p>
          <w:p>
            <w:pPr>
              <w:pStyle w:val="Body"/>
              <w:spacing w:after="0" w:before="0"/>
            </w:pPr>
            <w:r>
              <w:rPr>
                <w:rFonts w:ascii="Courier New" w:hAnsi="Courier New"/>
                <w:sz w:val="17"/>
              </w:rPr>
              <w:t xml:space="preserve">  protectedBranches:</w:t>
            </w:r>
          </w:p>
          <w:p>
            <w:pPr>
              <w:pStyle w:val="Body"/>
              <w:spacing w:after="0" w:before="0"/>
            </w:pPr>
            <w:r>
              <w:rPr>
                <w:rFonts w:ascii="Courier New" w:hAnsi="Courier New"/>
                <w:sz w:val="17"/>
              </w:rPr>
              <w:t xml:space="preserve">    - main</w:t>
            </w:r>
          </w:p>
          <w:p>
            <w:pPr>
              <w:pStyle w:val="Body"/>
              <w:spacing w:after="0" w:before="0"/>
            </w:pPr>
            <w:r>
              <w:rPr>
                <w:rFonts w:ascii="Courier New" w:hAnsi="Courier New"/>
                <w:sz w:val="17"/>
              </w:rPr>
              <w:t xml:space="preserve">    - release/*</w:t>
            </w:r>
          </w:p>
          <w:p>
            <w:pPr>
              <w:pStyle w:val="Body"/>
              <w:spacing w:after="0" w:before="0"/>
            </w:pPr>
            <w:r>
              <w:rPr>
                <w:rFonts w:ascii="Courier New" w:hAnsi="Courier New"/>
                <w:sz w:val="17"/>
              </w:rPr>
              <w:t xml:space="preserve">  requireHumanMerge: true</w:t>
            </w:r>
          </w:p>
          <w:p>
            <w:pPr>
              <w:pStyle w:val="Body"/>
              <w:spacing w:after="0" w:before="0"/>
            </w:pPr>
            <w:r>
              <w:rPr>
                <w:rFonts w:ascii="Courier New" w:hAnsi="Courier New"/>
                <w:sz w:val="17"/>
              </w:rPr>
              <w:t xml:space="preserve">  requireHumanDeploy: true</w:t>
            </w:r>
          </w:p>
          <w:p>
            <w:pPr>
              <w:pStyle w:val="Body"/>
              <w:spacing w:after="0" w:before="0"/>
            </w:pPr>
            <w:r>
              <w:rPr>
                <w:rFonts w:ascii="Courier New" w:hAnsi="Courier New"/>
                <w:sz w:val="17"/>
              </w:rPr>
              <w:t xml:space="preserve">  evalGateProfile: strict</w:t>
            </w:r>
          </w:p>
          <w:p>
            <w:pPr>
              <w:pStyle w:val="Body"/>
              <w:spacing w:after="0" w:before="0"/>
            </w:pPr>
            <w:r>
              <w:rPr>
                <w:rFonts w:ascii="Courier New" w:hAnsi="Courier New"/>
                <w:sz w:val="17"/>
              </w:rPr>
              <w:t xml:space="preserve">  codingAgentAllowedPaths:</w:t>
            </w:r>
          </w:p>
          <w:p>
            <w:pPr>
              <w:pStyle w:val="Body"/>
              <w:spacing w:after="0" w:before="0"/>
            </w:pPr>
            <w:r>
              <w:rPr>
                <w:rFonts w:ascii="Courier New" w:hAnsi="Courier New"/>
                <w:sz w:val="17"/>
              </w:rPr>
              <w:t xml:space="preserve">    - services/assistant</w:t>
            </w:r>
          </w:p>
          <w:p>
            <w:pPr>
              <w:pStyle w:val="Body"/>
              <w:spacing w:after="0" w:before="0"/>
            </w:pPr>
            <w:r>
              <w:rPr>
                <w:rFonts w:ascii="Courier New" w:hAnsi="Courier New"/>
                <w:sz w:val="17"/>
              </w:rPr>
              <w:t xml:space="preserve">    - prompts/</w:t>
            </w:r>
          </w:p>
        </w:tc>
      </w:tr>
    </w:tbl>
    <w:p/>
    <w:p>
      <w:pPr>
        <w:pStyle w:val="RuhHeading1"/>
        <w:keepNext/>
        <w:spacing w:before="320" w:after="160"/>
      </w:pPr>
      <w:r>
        <w:t>Appendix A. Runtime mapping example</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2541"/>
        <w:gridCol w:w="2541"/>
        <w:gridCol w:w="2541"/>
        <w:gridCol w:w="2541"/>
      </w:tblGrid>
      <w:tr>
        <w:tc>
          <w:tcPr>
            <w:tcW w:type="dxa" w:w="2448"/>
            <w:vAlign w:val="center"/>
            <w:shd w:fill="DDE8F2" w:val="clear" w:color="auto"/>
          </w:tcPr>
          <w:p>
            <w:pPr>
              <w:pStyle w:val="Body"/>
              <w:jc w:val="center"/>
            </w:pPr>
            <w:r>
              <w:rPr>
                <w:b/>
                <w:sz w:val="16"/>
              </w:rPr>
              <w:t>Exported employee</w:t>
            </w:r>
          </w:p>
        </w:tc>
        <w:tc>
          <w:tcPr>
            <w:tcW w:type="dxa" w:w="1944"/>
            <w:vAlign w:val="center"/>
            <w:shd w:fill="DDE8F2" w:val="clear" w:color="auto"/>
          </w:tcPr>
          <w:p>
            <w:pPr>
              <w:pStyle w:val="Body"/>
              <w:jc w:val="center"/>
            </w:pPr>
            <w:r>
              <w:rPr>
                <w:b/>
                <w:sz w:val="16"/>
              </w:rPr>
              <w:t>Compiled OpenClaw agent id</w:t>
            </w:r>
          </w:p>
        </w:tc>
        <w:tc>
          <w:tcPr>
            <w:tcW w:type="dxa" w:w="3240"/>
            <w:vAlign w:val="center"/>
            <w:shd w:fill="DDE8F2" w:val="clear" w:color="auto"/>
          </w:tcPr>
          <w:p>
            <w:pPr>
              <w:pStyle w:val="Body"/>
              <w:jc w:val="center"/>
            </w:pPr>
            <w:r>
              <w:rPr>
                <w:b/>
                <w:sz w:val="16"/>
              </w:rPr>
              <w:t>Workspace bootstrap files</w:t>
            </w:r>
          </w:p>
        </w:tc>
        <w:tc>
          <w:tcPr>
            <w:tcW w:type="dxa" w:w="2088"/>
            <w:vAlign w:val="center"/>
            <w:shd w:fill="DDE8F2" w:val="clear" w:color="auto"/>
          </w:tcPr>
          <w:p>
            <w:pPr>
              <w:pStyle w:val="Body"/>
              <w:jc w:val="center"/>
            </w:pPr>
            <w:r>
              <w:rPr>
                <w:b/>
                <w:sz w:val="16"/>
              </w:rPr>
              <w:t>Primary skill groups</w:t>
            </w:r>
          </w:p>
        </w:tc>
      </w:tr>
      <w:tr>
        <w:tc>
          <w:tcPr>
            <w:tcW w:type="dxa" w:w="2448"/>
            <w:vAlign w:val="center"/>
          </w:tcPr>
          <w:p>
            <w:pPr>
              <w:pStyle w:val="Body"/>
              <w:spacing w:after="60" w:before="40"/>
              <w:jc w:val="left"/>
            </w:pPr>
            <w:r>
              <w:rPr>
                <w:sz w:val="16"/>
              </w:rPr>
              <w:t>buildops.intake-triage.v1</w:t>
            </w:r>
          </w:p>
        </w:tc>
        <w:tc>
          <w:tcPr>
            <w:tcW w:type="dxa" w:w="1944"/>
            <w:vAlign w:val="center"/>
          </w:tcPr>
          <w:p>
            <w:pPr>
              <w:pStyle w:val="Body"/>
              <w:spacing w:after="60" w:before="40"/>
              <w:jc w:val="left"/>
            </w:pPr>
            <w:r>
              <w:rPr>
                <w:sz w:val="16"/>
              </w:rPr>
              <w:t>prod-&lt;id&gt;-triage</w:t>
            </w:r>
          </w:p>
        </w:tc>
        <w:tc>
          <w:tcPr>
            <w:tcW w:type="dxa" w:w="3240"/>
            <w:vAlign w:val="center"/>
          </w:tcPr>
          <w:p>
            <w:pPr>
              <w:pStyle w:val="Body"/>
              <w:spacing w:after="60" w:before="40"/>
              <w:jc w:val="left"/>
            </w:pPr>
            <w:r>
              <w:rPr>
                <w:sz w:val="16"/>
              </w:rPr>
              <w:t>SOUL.md; AGENTS.md; intake-playbook.md</w:t>
            </w:r>
          </w:p>
        </w:tc>
        <w:tc>
          <w:tcPr>
            <w:tcW w:type="dxa" w:w="2088"/>
            <w:vAlign w:val="center"/>
          </w:tcPr>
          <w:p>
            <w:pPr>
              <w:pStyle w:val="Body"/>
              <w:spacing w:after="60" w:before="40"/>
              <w:jc w:val="left"/>
            </w:pPr>
            <w:r>
              <w:rPr>
                <w:sz w:val="16"/>
              </w:rPr>
              <w:t>signal-triage; issue-routing</w:t>
            </w:r>
          </w:p>
        </w:tc>
      </w:tr>
      <w:tr>
        <w:tc>
          <w:tcPr>
            <w:tcW w:type="dxa" w:w="2448"/>
            <w:vAlign w:val="center"/>
          </w:tcPr>
          <w:p>
            <w:pPr>
              <w:pStyle w:val="Body"/>
              <w:spacing w:after="60" w:before="40"/>
              <w:jc w:val="left"/>
            </w:pPr>
            <w:r>
              <w:rPr>
                <w:sz w:val="16"/>
              </w:rPr>
              <w:t>buildops.spec-employee.v1</w:t>
            </w:r>
          </w:p>
        </w:tc>
        <w:tc>
          <w:tcPr>
            <w:tcW w:type="dxa" w:w="1944"/>
            <w:vAlign w:val="center"/>
          </w:tcPr>
          <w:p>
            <w:pPr>
              <w:pStyle w:val="Body"/>
              <w:spacing w:after="60" w:before="40"/>
              <w:jc w:val="left"/>
            </w:pPr>
            <w:r>
              <w:rPr>
                <w:sz w:val="16"/>
              </w:rPr>
              <w:t>prod-&lt;id&gt;-spec</w:t>
            </w:r>
          </w:p>
        </w:tc>
        <w:tc>
          <w:tcPr>
            <w:tcW w:type="dxa" w:w="3240"/>
            <w:vAlign w:val="center"/>
          </w:tcPr>
          <w:p>
            <w:pPr>
              <w:pStyle w:val="Body"/>
              <w:spacing w:after="60" w:before="40"/>
              <w:jc w:val="left"/>
            </w:pPr>
            <w:r>
              <w:rPr>
                <w:sz w:val="16"/>
              </w:rPr>
              <w:t>SOUL.md; AGENTS.md; spec-playbook.md</w:t>
            </w:r>
          </w:p>
        </w:tc>
        <w:tc>
          <w:tcPr>
            <w:tcW w:type="dxa" w:w="2088"/>
            <w:vAlign w:val="center"/>
          </w:tcPr>
          <w:p>
            <w:pPr>
              <w:pStyle w:val="Body"/>
              <w:spacing w:after="60" w:before="40"/>
              <w:jc w:val="left"/>
            </w:pPr>
            <w:r>
              <w:rPr>
                <w:sz w:val="16"/>
              </w:rPr>
              <w:t>spec-authoring; rollout-notes</w:t>
            </w:r>
          </w:p>
        </w:tc>
      </w:tr>
      <w:tr>
        <w:tc>
          <w:tcPr>
            <w:tcW w:type="dxa" w:w="2448"/>
            <w:vAlign w:val="center"/>
          </w:tcPr>
          <w:p>
            <w:pPr>
              <w:pStyle w:val="Body"/>
              <w:spacing w:after="60" w:before="40"/>
              <w:jc w:val="left"/>
            </w:pPr>
            <w:r>
              <w:rPr>
                <w:sz w:val="16"/>
              </w:rPr>
              <w:t>buildops.architecture-planner.v1</w:t>
            </w:r>
          </w:p>
        </w:tc>
        <w:tc>
          <w:tcPr>
            <w:tcW w:type="dxa" w:w="1944"/>
            <w:vAlign w:val="center"/>
          </w:tcPr>
          <w:p>
            <w:pPr>
              <w:pStyle w:val="Body"/>
              <w:spacing w:after="60" w:before="40"/>
              <w:jc w:val="left"/>
            </w:pPr>
            <w:r>
              <w:rPr>
                <w:sz w:val="16"/>
              </w:rPr>
              <w:t>prod-&lt;id&gt;-planner</w:t>
            </w:r>
          </w:p>
        </w:tc>
        <w:tc>
          <w:tcPr>
            <w:tcW w:type="dxa" w:w="3240"/>
            <w:vAlign w:val="center"/>
          </w:tcPr>
          <w:p>
            <w:pPr>
              <w:pStyle w:val="Body"/>
              <w:spacing w:after="60" w:before="40"/>
              <w:jc w:val="left"/>
            </w:pPr>
            <w:r>
              <w:rPr>
                <w:sz w:val="16"/>
              </w:rPr>
              <w:t>SOUL.md; AGENTS.md; planning-playbook.md</w:t>
            </w:r>
          </w:p>
        </w:tc>
        <w:tc>
          <w:tcPr>
            <w:tcW w:type="dxa" w:w="2088"/>
            <w:vAlign w:val="center"/>
          </w:tcPr>
          <w:p>
            <w:pPr>
              <w:pStyle w:val="Body"/>
              <w:spacing w:after="60" w:before="40"/>
              <w:jc w:val="left"/>
            </w:pPr>
            <w:r>
              <w:rPr>
                <w:sz w:val="16"/>
              </w:rPr>
              <w:t>repo-context; plan-generation</w:t>
            </w:r>
          </w:p>
        </w:tc>
      </w:tr>
      <w:tr>
        <w:tc>
          <w:tcPr>
            <w:tcW w:type="dxa" w:w="2448"/>
            <w:vAlign w:val="center"/>
          </w:tcPr>
          <w:p>
            <w:pPr>
              <w:pStyle w:val="Body"/>
              <w:spacing w:after="60" w:before="40"/>
              <w:jc w:val="left"/>
            </w:pPr>
            <w:r>
              <w:rPr>
                <w:sz w:val="16"/>
              </w:rPr>
              <w:t>buildops.builder-orchestrator.v1</w:t>
            </w:r>
          </w:p>
        </w:tc>
        <w:tc>
          <w:tcPr>
            <w:tcW w:type="dxa" w:w="1944"/>
            <w:vAlign w:val="center"/>
          </w:tcPr>
          <w:p>
            <w:pPr>
              <w:pStyle w:val="Body"/>
              <w:spacing w:after="60" w:before="40"/>
              <w:jc w:val="left"/>
            </w:pPr>
            <w:r>
              <w:rPr>
                <w:sz w:val="16"/>
              </w:rPr>
              <w:t>prod-&lt;id&gt;-builder</w:t>
            </w:r>
          </w:p>
        </w:tc>
        <w:tc>
          <w:tcPr>
            <w:tcW w:type="dxa" w:w="3240"/>
            <w:vAlign w:val="center"/>
          </w:tcPr>
          <w:p>
            <w:pPr>
              <w:pStyle w:val="Body"/>
              <w:spacing w:after="60" w:before="40"/>
              <w:jc w:val="left"/>
            </w:pPr>
            <w:r>
              <w:rPr>
                <w:sz w:val="16"/>
              </w:rPr>
              <w:t>SOUL.md; AGENTS.md; build-playbook.md</w:t>
            </w:r>
          </w:p>
        </w:tc>
        <w:tc>
          <w:tcPr>
            <w:tcW w:type="dxa" w:w="2088"/>
            <w:vAlign w:val="center"/>
          </w:tcPr>
          <w:p>
            <w:pPr>
              <w:pStyle w:val="Body"/>
              <w:spacing w:after="60" w:before="40"/>
              <w:jc w:val="left"/>
            </w:pPr>
            <w:r>
              <w:rPr>
                <w:sz w:val="16"/>
              </w:rPr>
              <w:t>coding-agent-control; pr-orchestration</w:t>
            </w:r>
          </w:p>
        </w:tc>
      </w:tr>
      <w:tr>
        <w:tc>
          <w:tcPr>
            <w:tcW w:type="dxa" w:w="2448"/>
            <w:vAlign w:val="center"/>
          </w:tcPr>
          <w:p>
            <w:pPr>
              <w:pStyle w:val="Body"/>
              <w:spacing w:after="60" w:before="40"/>
              <w:jc w:val="left"/>
            </w:pPr>
            <w:r>
              <w:rPr>
                <w:sz w:val="16"/>
              </w:rPr>
              <w:t>buildops.qa-evals.v1</w:t>
            </w:r>
          </w:p>
        </w:tc>
        <w:tc>
          <w:tcPr>
            <w:tcW w:type="dxa" w:w="1944"/>
            <w:vAlign w:val="center"/>
          </w:tcPr>
          <w:p>
            <w:pPr>
              <w:pStyle w:val="Body"/>
              <w:spacing w:after="60" w:before="40"/>
              <w:jc w:val="left"/>
            </w:pPr>
            <w:r>
              <w:rPr>
                <w:sz w:val="16"/>
              </w:rPr>
              <w:t>prod-&lt;id&gt;-evals</w:t>
            </w:r>
          </w:p>
        </w:tc>
        <w:tc>
          <w:tcPr>
            <w:tcW w:type="dxa" w:w="3240"/>
            <w:vAlign w:val="center"/>
          </w:tcPr>
          <w:p>
            <w:pPr>
              <w:pStyle w:val="Body"/>
              <w:spacing w:after="60" w:before="40"/>
              <w:jc w:val="left"/>
            </w:pPr>
            <w:r>
              <w:rPr>
                <w:sz w:val="16"/>
              </w:rPr>
              <w:t>SOUL.md; AGENTS.md; eval-playbook.md</w:t>
            </w:r>
          </w:p>
        </w:tc>
        <w:tc>
          <w:tcPr>
            <w:tcW w:type="dxa" w:w="2088"/>
            <w:vAlign w:val="center"/>
          </w:tcPr>
          <w:p>
            <w:pPr>
              <w:pStyle w:val="Body"/>
              <w:spacing w:after="60" w:before="40"/>
              <w:jc w:val="left"/>
            </w:pPr>
            <w:r>
              <w:rPr>
                <w:sz w:val="16"/>
              </w:rPr>
              <w:t>eval-ops; regression-generation</w:t>
            </w:r>
          </w:p>
        </w:tc>
      </w:tr>
      <w:tr>
        <w:tc>
          <w:tcPr>
            <w:tcW w:type="dxa" w:w="2448"/>
            <w:vAlign w:val="center"/>
          </w:tcPr>
          <w:p>
            <w:pPr>
              <w:pStyle w:val="Body"/>
              <w:spacing w:after="60" w:before="40"/>
              <w:jc w:val="left"/>
            </w:pPr>
            <w:r>
              <w:rPr>
                <w:sz w:val="16"/>
              </w:rPr>
              <w:t>buildops.review-release.v1</w:t>
            </w:r>
          </w:p>
        </w:tc>
        <w:tc>
          <w:tcPr>
            <w:tcW w:type="dxa" w:w="1944"/>
            <w:vAlign w:val="center"/>
          </w:tcPr>
          <w:p>
            <w:pPr>
              <w:pStyle w:val="Body"/>
              <w:spacing w:after="60" w:before="40"/>
              <w:jc w:val="left"/>
            </w:pPr>
            <w:r>
              <w:rPr>
                <w:sz w:val="16"/>
              </w:rPr>
              <w:t>prod-&lt;id&gt;-release</w:t>
            </w:r>
          </w:p>
        </w:tc>
        <w:tc>
          <w:tcPr>
            <w:tcW w:type="dxa" w:w="3240"/>
            <w:vAlign w:val="center"/>
          </w:tcPr>
          <w:p>
            <w:pPr>
              <w:pStyle w:val="Body"/>
              <w:spacing w:after="60" w:before="40"/>
              <w:jc w:val="left"/>
            </w:pPr>
            <w:r>
              <w:rPr>
                <w:sz w:val="16"/>
              </w:rPr>
              <w:t>SOUL.md; AGENTS.md; release-playbook.md</w:t>
            </w:r>
          </w:p>
        </w:tc>
        <w:tc>
          <w:tcPr>
            <w:tcW w:type="dxa" w:w="2088"/>
            <w:vAlign w:val="center"/>
          </w:tcPr>
          <w:p>
            <w:pPr>
              <w:pStyle w:val="Body"/>
              <w:spacing w:after="60" w:before="40"/>
              <w:jc w:val="left"/>
            </w:pPr>
            <w:r>
              <w:rPr>
                <w:sz w:val="16"/>
              </w:rPr>
              <w:t>release-prep; changelog</w:t>
            </w:r>
          </w:p>
        </w:tc>
      </w:tr>
      <w:tr>
        <w:tc>
          <w:tcPr>
            <w:tcW w:type="dxa" w:w="2448"/>
            <w:vAlign w:val="center"/>
          </w:tcPr>
          <w:p>
            <w:pPr>
              <w:pStyle w:val="Body"/>
              <w:spacing w:after="60" w:before="40"/>
              <w:jc w:val="left"/>
            </w:pPr>
            <w:r>
              <w:rPr>
                <w:sz w:val="16"/>
              </w:rPr>
              <w:t>buildops.incident-feedback.v1</w:t>
            </w:r>
          </w:p>
        </w:tc>
        <w:tc>
          <w:tcPr>
            <w:tcW w:type="dxa" w:w="1944"/>
            <w:vAlign w:val="center"/>
          </w:tcPr>
          <w:p>
            <w:pPr>
              <w:pStyle w:val="Body"/>
              <w:spacing w:after="60" w:before="40"/>
              <w:jc w:val="left"/>
            </w:pPr>
            <w:r>
              <w:rPr>
                <w:sz w:val="16"/>
              </w:rPr>
              <w:t>prod-&lt;id&gt;-incident</w:t>
            </w:r>
          </w:p>
        </w:tc>
        <w:tc>
          <w:tcPr>
            <w:tcW w:type="dxa" w:w="3240"/>
            <w:vAlign w:val="center"/>
          </w:tcPr>
          <w:p>
            <w:pPr>
              <w:pStyle w:val="Body"/>
              <w:spacing w:after="60" w:before="40"/>
              <w:jc w:val="left"/>
            </w:pPr>
            <w:r>
              <w:rPr>
                <w:sz w:val="16"/>
              </w:rPr>
              <w:t>SOUL.md; AGENTS.md; incident-playbook.md</w:t>
            </w:r>
          </w:p>
        </w:tc>
        <w:tc>
          <w:tcPr>
            <w:tcW w:type="dxa" w:w="2088"/>
            <w:vAlign w:val="center"/>
          </w:tcPr>
          <w:p>
            <w:pPr>
              <w:pStyle w:val="Body"/>
              <w:spacing w:after="60" w:before="40"/>
              <w:jc w:val="left"/>
            </w:pPr>
            <w:r>
              <w:rPr>
                <w:sz w:val="16"/>
              </w:rPr>
              <w:t>incident-correlation; rca-drafting</w:t>
            </w:r>
          </w:p>
        </w:tc>
      </w:tr>
    </w:tbl>
    <w:p/>
    <w:p>
      <w:pPr>
        <w:pStyle w:val="RuhHeading1"/>
        <w:keepNext/>
        <w:spacing w:before="320" w:after="160"/>
      </w:pPr>
      <w:r>
        <w:t>Appendix B. Source assumptions</w:t>
      </w:r>
    </w:p>
    <w:p>
      <w:pPr>
        <w:pStyle w:val="Body"/>
        <w:spacing w:after="120" w:before="0" w:line="276" w:lineRule="auto"/>
      </w:pPr>
      <w:r>
        <w:t>The references below anchor the OpenClaw runtime assumptions used by this reference pack and should be revisited whenever the runtime adapter changes.</w:t>
      </w:r>
    </w:p>
    <w:p>
      <w:pPr>
        <w:pStyle w:val="Body"/>
        <w:spacing w:after="60"/>
      </w:pPr>
      <w:r>
        <w:rPr>
          <w:b/>
        </w:rPr>
        <w:t xml:space="preserve">[R1] </w:t>
      </w:r>
      <w:r>
        <w:t>OpenClaw CLI - agents (isolated agents with workspaces, auth, and routing) - https://docs.openclaw.ai/cli/agents</w:t>
      </w:r>
    </w:p>
    <w:p>
      <w:pPr>
        <w:pStyle w:val="Body"/>
        <w:spacing w:after="60"/>
      </w:pPr>
      <w:r>
        <w:rPr>
          <w:b/>
        </w:rPr>
        <w:t xml:space="preserve">[R2] </w:t>
      </w:r>
      <w:r>
        <w:t>OpenClaw tools - skills (AgentSkills-compatible skill folders) - https://docs.openclaw.ai/tools/skills</w:t>
      </w:r>
    </w:p>
    <w:p>
      <w:pPr>
        <w:pStyle w:val="Body"/>
        <w:spacing w:after="60"/>
      </w:pPr>
      <w:r>
        <w:rPr>
          <w:b/>
        </w:rPr>
        <w:t xml:space="preserve">[R3] </w:t>
      </w:r>
      <w:r>
        <w:t>OpenClaw automation - hooks - https://docs.openclaw.ai/automation/hooks</w:t>
      </w:r>
    </w:p>
    <w:p>
      <w:pPr>
        <w:pStyle w:val="Body"/>
        <w:spacing w:after="60"/>
      </w:pPr>
      <w:r>
        <w:rPr>
          <w:b/>
        </w:rPr>
        <w:t xml:space="preserve">[R4] </w:t>
      </w:r>
      <w:r>
        <w:t>OpenClaw automation - cron jobs - https://docs.openclaw.ai/automation/cron-jobs</w:t>
      </w:r>
    </w:p>
    <w:p>
      <w:pPr>
        <w:pStyle w:val="Body"/>
        <w:spacing w:after="60"/>
      </w:pPr>
      <w:r>
        <w:rPr>
          <w:b/>
        </w:rPr>
        <w:t xml:space="preserve">[R5] </w:t>
      </w:r>
      <w:r>
        <w:t>OpenClaw gateway - sandboxing - https://docs.openclaw.ai/gateway/sandboxing</w:t>
      </w:r>
    </w:p>
    <w:p>
      <w:pPr>
        <w:pStyle w:val="Body"/>
        <w:spacing w:after="60"/>
      </w:pPr>
      <w:r>
        <w:rPr>
          <w:b/>
        </w:rPr>
        <w:t xml:space="preserve">[R6] </w:t>
      </w:r>
      <w:r>
        <w:t>OpenClaw gateway - security - https://docs.openclaw.ai/gateway/security</w:t>
      </w:r>
    </w:p>
    <w:sectPr w:rsidR="00FC693F" w:rsidRPr="0006063C" w:rsidSect="00034616">
      <w:headerReference w:type="default" r:id="rId9"/>
      <w:footerReference w:type="default" r:id="rId10"/>
      <w:pgSz w:w="12240" w:h="15840"/>
      <w:pgMar w:top="936" w:right="1037" w:bottom="936"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Ruh.ai AI BuildOps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i/>
      <w:iCs/>
      <w:color w:val="5A71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before="40"/>
    </w:pPr>
    <w:rPr>
      <w:b/>
      <w:bCs/>
      <w:i/>
      <w:color w:val="5A71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 Main"/>
    <w:basedOn w:val="Normal"/>
    <w:pPr>
      <w:keepNext/>
      <w:spacing w:after="120"/>
    </w:pPr>
    <w:rPr>
      <w:rFonts w:ascii="Aptos Display" w:hAnsi="Aptos Display"/>
      <w:b/>
      <w:color w:val="17324D"/>
      <w:sz w:val="52"/>
    </w:rPr>
  </w:style>
  <w:style w:type="paragraph" w:customStyle="1" w:styleId="RuhHeading1">
    <w:name w:val="Ruh Heading 1"/>
    <w:basedOn w:val="Normal"/>
    <w:pPr>
      <w:keepNext/>
      <w:spacing w:before="240" w:after="80"/>
    </w:pPr>
    <w:rPr>
      <w:b/>
      <w:color w:val="17324D"/>
      <w:sz w:val="32"/>
    </w:rPr>
  </w:style>
  <w:style w:type="paragraph" w:customStyle="1" w:styleId="RuhHeading2">
    <w:name w:val="Ruh Heading 2"/>
    <w:basedOn w:val="Normal"/>
    <w:pPr>
      <w:keepNext/>
      <w:spacing w:before="160" w:after="80"/>
    </w:pPr>
    <w:rPr>
      <w:b/>
      <w:color w:val="2F6FE4"/>
      <w:sz w:val="25"/>
    </w:rPr>
  </w:style>
  <w:style w:type="paragraph" w:customStyle="1" w:styleId="RuhHeading3">
    <w:name w:val="Ruh Heading 3"/>
    <w:basedOn w:val="Normal"/>
    <w:pPr>
      <w:keepNext/>
      <w:spacing w:before="160" w:after="80"/>
    </w:pPr>
    <w:rPr>
      <w:b/>
      <w:color w:val="17324D"/>
      <w:sz w:val="21"/>
    </w:rPr>
  </w:style>
  <w:style w:type="paragraph" w:customStyle="1" w:styleId="Body">
    <w:name w:val="Body"/>
    <w:basedOn w:val="Normal"/>
    <w:pPr>
      <w:spacing w:after="120" w:line="283" w:lineRule="auto"/>
    </w:pPr>
    <w:rPr>
      <w:color w:val="17324D"/>
      <w:sz w:val="21"/>
    </w:rPr>
  </w:style>
  <w:style w:type="paragraph" w:customStyle="1" w:styleId="Bullet1">
    <w:name w:val="Bullet 1"/>
    <w:basedOn w:val="ListBullet"/>
    <w:pPr>
      <w:spacing w:after="60"/>
    </w:pPr>
    <w:rPr>
      <w:color w:val="17324D"/>
      <w:sz w:val="20"/>
    </w:rPr>
  </w:style>
  <w:style w:type="paragraph" w:customStyle="1" w:styleId="Bullet2">
    <w:name w:val="Bullet 2"/>
    <w:basedOn w:val="ListBullet2"/>
    <w:pPr>
      <w:spacing w:after="40"/>
    </w:pPr>
    <w:rPr>
      <w:color w:val="17324D"/>
      <w:sz w:val="20"/>
    </w:rPr>
  </w:style>
  <w:style w:type="paragraph" w:customStyle="1" w:styleId="Small">
    <w:name w:val="Small"/>
    <w:basedOn w:val="Normal"/>
    <w:pPr>
      <w:spacing w:after="60"/>
    </w:pPr>
    <w:rPr>
      <w:color w:val="5A7184"/>
      <w:sz w:val="17"/>
    </w:rPr>
  </w:style>
  <w:style w:type="paragraph" w:customStyle="1" w:styleId="CodeBlock">
    <w:name w:val="Code Block"/>
    <w:basedOn w:val="Normal"/>
    <w:pPr>
      <w:spacing w:after="0" w:line="240" w:lineRule="auto"/>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openclaw.ai/cli/agents" TargetMode="External"/><Relationship Id="rId15" Type="http://schemas.openxmlformats.org/officeDocument/2006/relationships/hyperlink" Target="https://docs.openclaw.ai/tools/skills" TargetMode="External"/><Relationship Id="rId16" Type="http://schemas.openxmlformats.org/officeDocument/2006/relationships/hyperlink" Target="https://docs.openclaw.ai/automation/hooks" TargetMode="External"/><Relationship Id="rId17" Type="http://schemas.openxmlformats.org/officeDocument/2006/relationships/hyperlink" Target="https://docs.openclaw.ai/tools" TargetMode="External"/><Relationship Id="rId18" Type="http://schemas.openxmlformats.org/officeDocument/2006/relationships/hyperlink" Target="https://docs.openclaw.ai/concepts/agent-workspace" TargetMode="External"/><Relationship Id="rId19" Type="http://schemas.openxmlformats.org/officeDocument/2006/relationships/hyperlink" Target="https://docs.openclaw.ai/gateway/security" TargetMode="External"/><Relationship Id="rId20" Type="http://schemas.openxmlformats.org/officeDocument/2006/relationships/hyperlink" Target="https://docs.openclaw.ai/gateway/sandboxing" TargetMode="External"/><Relationship Id="rId21" Type="http://schemas.openxmlformats.org/officeDocument/2006/relationships/hyperlink" Target="https://docs.openclaw.ai/gateway/configuration-reference" TargetMode="External"/><Relationship Id="rId22" Type="http://schemas.openxmlformats.org/officeDocument/2006/relationships/hyperlink" Target="https://docs.openclaw.ai/reference/token-use" TargetMode="External"/><Relationship Id="rId23" Type="http://schemas.openxmlformats.org/officeDocument/2006/relationships/hyperlink" Target="https://docs.openclaw.ai/gateway/heartbeat" TargetMode="External"/><Relationship Id="rId24" Type="http://schemas.openxmlformats.org/officeDocument/2006/relationships/image" Target="media/image4.png"/><Relationship Id="rId2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Ruh.ai V1 Reference Pack Definition - AI BuildOps Pack</dc:title>
  <dc:subject>Reference implementation pack for digital employees that run AI product delivery workflows</dc:subject>
  <dc:creator>OpenAI</dc:creator>
  <cp:keywords/>
  <dc:description>Generated by OpenAI in the container environment.</dc:description>
  <cp:lastModifiedBy/>
  <cp:revision>1</cp:revision>
  <dcterms:created xsi:type="dcterms:W3CDTF">2026-03-07T23:50:20Z</dcterms:created>
  <dcterms:modified xsi:type="dcterms:W3CDTF">2013-12-23T23:15:00Z</dcterms:modified>
  <cp:category>Product documentation</cp:category>
</cp:coreProperties>
</file>