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Ruh.ai V1 Reference Pack Definition</w:t>
        <w:br/>
        <w:t>Construction Project Operations Pack</w:t>
      </w:r>
    </w:p>
    <w:p>
      <w:pPr>
        <w:pStyle w:val="Subtitle"/>
        <w:spacing w:after="200"/>
      </w:pPr>
      <w:r>
        <w:t>Reusable digital employees for RFI coordination, submittals, document control, reporting, and action tracking across general contractors and specialty contractors</w:t>
      </w:r>
    </w:p>
    <w:p>
      <w:pPr>
        <w:pStyle w:val="Body"/>
        <w:spacing w:after="120" w:before="0" w:line="276" w:lineRule="auto"/>
      </w:pPr>
      <w:r>
        <w:t>This document instantiates the platform PRD, V1 system design, API contract, and employee pack specification as a concrete industry pack. The goal is to define one horizontal pack that can be configured for many construction firms instead of rebuilding niche one-off workflows for each customer.</w:t>
      </w:r>
    </w:p>
    <w:tbl>
      <w:tblPr>
        <w:tblW w:type="auto" w:w="0"/>
        <w:jc w:val="lef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83"/>
        <w:gridCol w:w="5083"/>
      </w:tblGrid>
      <w:tr>
        <w:tc>
          <w:tcPr>
            <w:tcW w:type="dxa" w:w="6336"/>
            <w:shd w:fill="E4F2EB" w:val="clear" w:color="auto"/>
            <w:vAlign w:val="top"/>
          </w:tcPr>
          <w:p>
            <w:pPr>
              <w:pStyle w:val="Body"/>
              <w:spacing w:after="80"/>
            </w:pPr>
            <w:r/>
            <w:r/>
            <w:r>
              <w:rPr>
                <w:b/>
              </w:rPr>
              <w:t>What this pack must accomplish</w:t>
            </w:r>
          </w:p>
          <w:p>
            <w:pPr>
              <w:pStyle w:val="Bullet1"/>
              <w:spacing w:after="40"/>
              <w:ind w:left="216"/>
            </w:pPr>
            <w:r>
              <w:t>Take repetitive, document-heavy project operations work off project engineers, coordinators, and PMs.</w:t>
            </w:r>
          </w:p>
          <w:p>
            <w:pPr>
              <w:pStyle w:val="Bullet1"/>
              <w:spacing w:after="40"/>
              <w:ind w:left="216"/>
            </w:pPr>
            <w:r>
              <w:t>Operate above the customer's existing system of record instead of replacing PMIS and document systems.</w:t>
            </w:r>
          </w:p>
          <w:p>
            <w:pPr>
              <w:pStyle w:val="Bullet1"/>
              <w:spacing w:after="40"/>
              <w:ind w:left="216"/>
            </w:pPr>
            <w:r>
              <w:t>Keep all material external actions behind governed approval rules, citations, and full audit history.</w:t>
            </w:r>
          </w:p>
          <w:p>
            <w:pPr>
              <w:pStyle w:val="Bullet1"/>
              <w:spacing w:after="40"/>
              <w:ind w:left="216"/>
            </w:pPr>
            <w:r>
              <w:t>Stay horizontal enough to fit many contractors, while still reflecting real construction nouns and workflows.</w:t>
            </w:r>
          </w:p>
        </w:tc>
        <w:tc>
          <w:tcPr>
            <w:tcW w:type="dxa" w:w="3311"/>
            <w:shd w:fill="E8EEF5" w:val="clear" w:color="auto"/>
            <w:vAlign w:val="top"/>
          </w:tcPr>
          <w:p>
            <w:pPr>
              <w:pStyle w:val="Body"/>
              <w:spacing w:after="80"/>
            </w:pPr>
            <w:r/>
            <w:r>
              <w:rPr>
                <w:b/>
              </w:rPr>
              <w:t>Document facts</w:t>
            </w:r>
          </w:p>
          <w:p>
            <w:pPr>
              <w:pStyle w:val="Body"/>
              <w:spacing w:after="40"/>
            </w:pPr>
            <w:r>
              <w:rPr>
                <w:b/>
              </w:rPr>
              <w:t xml:space="preserve">Pack ID: </w:t>
            </w:r>
            <w:r>
              <w:t>ref.construction.project-ops</w:t>
            </w:r>
          </w:p>
          <w:p>
            <w:pPr>
              <w:pStyle w:val="Body"/>
              <w:spacing w:after="40"/>
            </w:pPr>
            <w:r>
              <w:rPr>
                <w:b/>
              </w:rPr>
              <w:t xml:space="preserve">Reference version: </w:t>
            </w:r>
            <w:r>
              <w:t>1.0.0</w:t>
            </w:r>
          </w:p>
          <w:p>
            <w:pPr>
              <w:pStyle w:val="Body"/>
              <w:spacing w:after="40"/>
            </w:pPr>
            <w:r>
              <w:rPr>
                <w:b/>
              </w:rPr>
              <w:t xml:space="preserve">Pack type: </w:t>
            </w:r>
            <w:r>
              <w:t>Industry reference pack</w:t>
            </w:r>
          </w:p>
          <w:p>
            <w:pPr>
              <w:pStyle w:val="Body"/>
              <w:spacing w:after="40"/>
            </w:pPr>
            <w:r>
              <w:rPr>
                <w:b/>
              </w:rPr>
              <w:t xml:space="preserve">Primary deployment model: </w:t>
            </w:r>
            <w:r>
              <w:t>One tenant trust boundary; one workspace per project</w:t>
            </w:r>
          </w:p>
          <w:p>
            <w:pPr>
              <w:pStyle w:val="Body"/>
              <w:spacing w:after="40"/>
            </w:pPr>
            <w:r>
              <w:rPr>
                <w:b/>
              </w:rPr>
              <w:t xml:space="preserve">Conforms to: </w:t>
            </w:r>
            <w:r>
              <w:t>Ruh.ai V1 Employee Pack Specification</w:t>
            </w:r>
          </w:p>
        </w:tc>
      </w:tr>
    </w:tbl>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2541"/>
        <w:gridCol w:w="2541"/>
        <w:gridCol w:w="2541"/>
        <w:gridCol w:w="2541"/>
      </w:tblGrid>
      <w:tr>
        <w:tc>
          <w:tcPr>
            <w:tcW w:type="dxa" w:w="1944"/>
            <w:vAlign w:val="center"/>
            <w:shd w:fill="DDE8F2" w:val="clear" w:color="auto"/>
          </w:tcPr>
          <w:p>
            <w:pPr>
              <w:pStyle w:val="Body"/>
              <w:jc w:val="center"/>
            </w:pPr>
            <w:r>
              <w:rPr>
                <w:b/>
                <w:sz w:val="17"/>
              </w:rPr>
              <w:t>Outcome area</w:t>
            </w:r>
          </w:p>
        </w:tc>
        <w:tc>
          <w:tcPr>
            <w:tcW w:type="dxa" w:w="3024"/>
            <w:vAlign w:val="center"/>
            <w:shd w:fill="DDE8F2" w:val="clear" w:color="auto"/>
          </w:tcPr>
          <w:p>
            <w:pPr>
              <w:pStyle w:val="Body"/>
              <w:jc w:val="center"/>
            </w:pPr>
            <w:r>
              <w:rPr>
                <w:b/>
                <w:sz w:val="17"/>
              </w:rPr>
              <w:t>Problems removed</w:t>
            </w:r>
          </w:p>
        </w:tc>
        <w:tc>
          <w:tcPr>
            <w:tcW w:type="dxa" w:w="2232"/>
            <w:vAlign w:val="center"/>
            <w:shd w:fill="DDE8F2" w:val="clear" w:color="auto"/>
          </w:tcPr>
          <w:p>
            <w:pPr>
              <w:pStyle w:val="Body"/>
              <w:jc w:val="center"/>
            </w:pPr>
            <w:r>
              <w:rPr>
                <w:b/>
                <w:sz w:val="17"/>
              </w:rPr>
              <w:t>Primary workflows</w:t>
            </w:r>
          </w:p>
        </w:tc>
        <w:tc>
          <w:tcPr>
            <w:tcW w:type="dxa" w:w="2015"/>
            <w:vAlign w:val="center"/>
            <w:shd w:fill="DDE8F2" w:val="clear" w:color="auto"/>
          </w:tcPr>
          <w:p>
            <w:pPr>
              <w:pStyle w:val="Body"/>
              <w:jc w:val="center"/>
            </w:pPr>
            <w:r>
              <w:rPr>
                <w:b/>
                <w:sz w:val="17"/>
              </w:rPr>
              <w:t>Business measures</w:t>
            </w:r>
          </w:p>
        </w:tc>
      </w:tr>
      <w:tr>
        <w:tc>
          <w:tcPr>
            <w:tcW w:type="dxa" w:w="1944"/>
            <w:vAlign w:val="center"/>
          </w:tcPr>
          <w:p>
            <w:pPr>
              <w:pStyle w:val="Body"/>
              <w:spacing w:after="60" w:before="40"/>
              <w:jc w:val="left"/>
            </w:pPr>
            <w:r>
              <w:rPr>
                <w:sz w:val="17"/>
              </w:rPr>
              <w:t>Project correspondence</w:t>
            </w:r>
          </w:p>
        </w:tc>
        <w:tc>
          <w:tcPr>
            <w:tcW w:type="dxa" w:w="3024"/>
            <w:vAlign w:val="center"/>
          </w:tcPr>
          <w:p>
            <w:pPr>
              <w:pStyle w:val="Body"/>
              <w:spacing w:after="60" w:before="40"/>
              <w:jc w:val="left"/>
            </w:pPr>
            <w:r>
              <w:rPr>
                <w:sz w:val="17"/>
              </w:rPr>
              <w:t>Work enters through scattered email, chat, PMIS alerts, and file drops with no consistent triage.</w:t>
            </w:r>
          </w:p>
        </w:tc>
        <w:tc>
          <w:tcPr>
            <w:tcW w:type="dxa" w:w="2232"/>
            <w:vAlign w:val="center"/>
          </w:tcPr>
          <w:p>
            <w:pPr>
              <w:pStyle w:val="Body"/>
              <w:spacing w:after="60" w:before="40"/>
              <w:jc w:val="left"/>
            </w:pPr>
            <w:r>
              <w:rPr>
                <w:sz w:val="17"/>
              </w:rPr>
              <w:t>Signal intake and routing</w:t>
            </w:r>
          </w:p>
        </w:tc>
        <w:tc>
          <w:tcPr>
            <w:tcW w:type="dxa" w:w="2015"/>
            <w:vAlign w:val="center"/>
          </w:tcPr>
          <w:p>
            <w:pPr>
              <w:pStyle w:val="Body"/>
              <w:spacing w:after="60" w:before="40"/>
              <w:jc w:val="left"/>
            </w:pPr>
            <w:r>
              <w:rPr>
                <w:sz w:val="17"/>
              </w:rPr>
              <w:t>Response time, unassigned signal count</w:t>
            </w:r>
          </w:p>
        </w:tc>
      </w:tr>
      <w:tr>
        <w:tc>
          <w:tcPr>
            <w:tcW w:type="dxa" w:w="1944"/>
            <w:vAlign w:val="center"/>
          </w:tcPr>
          <w:p>
            <w:pPr>
              <w:pStyle w:val="Body"/>
              <w:spacing w:after="60" w:before="40"/>
              <w:jc w:val="left"/>
            </w:pPr>
            <w:r>
              <w:rPr>
                <w:sz w:val="17"/>
              </w:rPr>
              <w:t>Design coordination</w:t>
            </w:r>
          </w:p>
        </w:tc>
        <w:tc>
          <w:tcPr>
            <w:tcW w:type="dxa" w:w="3024"/>
            <w:vAlign w:val="center"/>
          </w:tcPr>
          <w:p>
            <w:pPr>
              <w:pStyle w:val="Body"/>
              <w:spacing w:after="60" w:before="40"/>
              <w:jc w:val="left"/>
            </w:pPr>
            <w:r>
              <w:rPr>
                <w:sz w:val="17"/>
              </w:rPr>
              <w:t>Questions are repeated, poorly sourced, or delayed because current drawings/specs are hard to assemble.</w:t>
            </w:r>
          </w:p>
        </w:tc>
        <w:tc>
          <w:tcPr>
            <w:tcW w:type="dxa" w:w="2232"/>
            <w:vAlign w:val="center"/>
          </w:tcPr>
          <w:p>
            <w:pPr>
              <w:pStyle w:val="Body"/>
              <w:spacing w:after="60" w:before="40"/>
              <w:jc w:val="left"/>
            </w:pPr>
            <w:r>
              <w:rPr>
                <w:sz w:val="17"/>
              </w:rPr>
              <w:t>RFI lifecycle</w:t>
            </w:r>
          </w:p>
        </w:tc>
        <w:tc>
          <w:tcPr>
            <w:tcW w:type="dxa" w:w="2015"/>
            <w:vAlign w:val="center"/>
          </w:tcPr>
          <w:p>
            <w:pPr>
              <w:pStyle w:val="Body"/>
              <w:spacing w:after="60" w:before="40"/>
              <w:jc w:val="left"/>
            </w:pPr>
            <w:r>
              <w:rPr>
                <w:sz w:val="17"/>
              </w:rPr>
              <w:t>Draft-to-submit time, duplicate RFI rate</w:t>
            </w:r>
          </w:p>
        </w:tc>
      </w:tr>
      <w:tr>
        <w:tc>
          <w:tcPr>
            <w:tcW w:type="dxa" w:w="1944"/>
            <w:vAlign w:val="center"/>
          </w:tcPr>
          <w:p>
            <w:pPr>
              <w:pStyle w:val="Body"/>
              <w:spacing w:after="60" w:before="40"/>
              <w:jc w:val="left"/>
            </w:pPr>
            <w:r>
              <w:rPr>
                <w:sz w:val="17"/>
              </w:rPr>
              <w:t>Vendor review flow</w:t>
            </w:r>
          </w:p>
        </w:tc>
        <w:tc>
          <w:tcPr>
            <w:tcW w:type="dxa" w:w="3024"/>
            <w:vAlign w:val="center"/>
          </w:tcPr>
          <w:p>
            <w:pPr>
              <w:pStyle w:val="Body"/>
              <w:spacing w:after="60" w:before="40"/>
              <w:jc w:val="left"/>
            </w:pPr>
            <w:r>
              <w:rPr>
                <w:sz w:val="17"/>
              </w:rPr>
              <w:t>Submittals are incomplete, routed late, and chased manually.</w:t>
            </w:r>
          </w:p>
        </w:tc>
        <w:tc>
          <w:tcPr>
            <w:tcW w:type="dxa" w:w="2232"/>
            <w:vAlign w:val="center"/>
          </w:tcPr>
          <w:p>
            <w:pPr>
              <w:pStyle w:val="Body"/>
              <w:spacing w:after="60" w:before="40"/>
              <w:jc w:val="left"/>
            </w:pPr>
            <w:r>
              <w:rPr>
                <w:sz w:val="17"/>
              </w:rPr>
              <w:t>Submittal lifecycle</w:t>
            </w:r>
          </w:p>
        </w:tc>
        <w:tc>
          <w:tcPr>
            <w:tcW w:type="dxa" w:w="2015"/>
            <w:vAlign w:val="center"/>
          </w:tcPr>
          <w:p>
            <w:pPr>
              <w:pStyle w:val="Body"/>
              <w:spacing w:after="60" w:before="40"/>
              <w:jc w:val="left"/>
            </w:pPr>
            <w:r>
              <w:rPr>
                <w:sz w:val="17"/>
              </w:rPr>
              <w:t>Cycle time, overdue review count</w:t>
            </w:r>
          </w:p>
        </w:tc>
      </w:tr>
      <w:tr>
        <w:tc>
          <w:tcPr>
            <w:tcW w:type="dxa" w:w="1944"/>
            <w:vAlign w:val="center"/>
          </w:tcPr>
          <w:p>
            <w:pPr>
              <w:pStyle w:val="Body"/>
              <w:spacing w:after="60" w:before="40"/>
              <w:jc w:val="left"/>
            </w:pPr>
            <w:r>
              <w:rPr>
                <w:sz w:val="17"/>
              </w:rPr>
              <w:t>Team coordination</w:t>
            </w:r>
          </w:p>
        </w:tc>
        <w:tc>
          <w:tcPr>
            <w:tcW w:type="dxa" w:w="3024"/>
            <w:vAlign w:val="center"/>
          </w:tcPr>
          <w:p>
            <w:pPr>
              <w:pStyle w:val="Body"/>
              <w:spacing w:after="60" w:before="40"/>
              <w:jc w:val="left"/>
            </w:pPr>
            <w:r>
              <w:rPr>
                <w:sz w:val="17"/>
              </w:rPr>
              <w:t>Meeting prep, action logging, and follow-up consume experienced staff time.</w:t>
            </w:r>
          </w:p>
        </w:tc>
        <w:tc>
          <w:tcPr>
            <w:tcW w:type="dxa" w:w="2232"/>
            <w:vAlign w:val="center"/>
          </w:tcPr>
          <w:p>
            <w:pPr>
              <w:pStyle w:val="Body"/>
              <w:spacing w:after="60" w:before="40"/>
              <w:jc w:val="left"/>
            </w:pPr>
            <w:r>
              <w:rPr>
                <w:sz w:val="17"/>
              </w:rPr>
              <w:t>Meeting pack and action sync</w:t>
            </w:r>
          </w:p>
        </w:tc>
        <w:tc>
          <w:tcPr>
            <w:tcW w:type="dxa" w:w="2015"/>
            <w:vAlign w:val="center"/>
          </w:tcPr>
          <w:p>
            <w:pPr>
              <w:pStyle w:val="Body"/>
              <w:spacing w:after="60" w:before="40"/>
              <w:jc w:val="left"/>
            </w:pPr>
            <w:r>
              <w:rPr>
                <w:sz w:val="17"/>
              </w:rPr>
              <w:t>Minutes turnaround, overdue action items</w:t>
            </w:r>
          </w:p>
        </w:tc>
      </w:tr>
      <w:tr>
        <w:tc>
          <w:tcPr>
            <w:tcW w:type="dxa" w:w="1944"/>
            <w:vAlign w:val="center"/>
          </w:tcPr>
          <w:p>
            <w:pPr>
              <w:pStyle w:val="Body"/>
              <w:spacing w:after="60" w:before="40"/>
              <w:jc w:val="left"/>
            </w:pPr>
            <w:r>
              <w:rPr>
                <w:sz w:val="17"/>
              </w:rPr>
              <w:t>Project visibility</w:t>
            </w:r>
          </w:p>
        </w:tc>
        <w:tc>
          <w:tcPr>
            <w:tcW w:type="dxa" w:w="3024"/>
            <w:vAlign w:val="center"/>
          </w:tcPr>
          <w:p>
            <w:pPr>
              <w:pStyle w:val="Body"/>
              <w:spacing w:after="60" w:before="40"/>
              <w:jc w:val="left"/>
            </w:pPr>
            <w:r>
              <w:rPr>
                <w:sz w:val="17"/>
              </w:rPr>
              <w:t>Weekly status updates are stitched together by hand from many sources.</w:t>
            </w:r>
          </w:p>
        </w:tc>
        <w:tc>
          <w:tcPr>
            <w:tcW w:type="dxa" w:w="2232"/>
            <w:vAlign w:val="center"/>
          </w:tcPr>
          <w:p>
            <w:pPr>
              <w:pStyle w:val="Body"/>
              <w:spacing w:after="60" w:before="40"/>
              <w:jc w:val="left"/>
            </w:pPr>
            <w:r>
              <w:rPr>
                <w:sz w:val="17"/>
              </w:rPr>
              <w:t>Daily and weekly reporting</w:t>
            </w:r>
          </w:p>
        </w:tc>
        <w:tc>
          <w:tcPr>
            <w:tcW w:type="dxa" w:w="2015"/>
            <w:vAlign w:val="center"/>
          </w:tcPr>
          <w:p>
            <w:pPr>
              <w:pStyle w:val="Body"/>
              <w:spacing w:after="60" w:before="40"/>
              <w:jc w:val="left"/>
            </w:pPr>
            <w:r>
              <w:rPr>
                <w:sz w:val="17"/>
              </w:rPr>
              <w:t>Hours saved, report turnaround</w:t>
            </w:r>
          </w:p>
        </w:tc>
      </w:tr>
    </w:tbl>
    <w:p/>
    <w:tbl>
      <w:tblPr>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10166"/>
      </w:tblGrid>
      <w:tr>
        <w:tc>
          <w:tcPr>
            <w:tcW w:type="dxa" w:w="9648"/>
            <w:shd w:fill="EAF3F8" w:val="clear" w:color="auto"/>
            <w:vAlign w:val="center"/>
          </w:tcPr>
          <w:p>
            <w:pPr>
              <w:pStyle w:val="Body"/>
              <w:spacing w:after="80"/>
            </w:pPr>
            <w:r/>
            <w:r>
              <w:rPr>
                <w:b/>
              </w:rPr>
              <w:t>Why this pack stays horizontal</w:t>
            </w:r>
          </w:p>
          <w:p>
            <w:pPr>
              <w:pStyle w:val="Body"/>
              <w:spacing w:after="80"/>
            </w:pPr>
            <w:r>
              <w:t>The pack does not encode one customer's vocabulary or one PMIS vendor as the product. It standardizes the common operating spine of construction project administration: intake, document resolution, RFI coordination, submittal coordination, reporting, and follow-through. Tenant overlays map the pack to each contractor's terminology, permissions, and systems.</w:t>
            </w:r>
          </w:p>
        </w:tc>
      </w:tr>
    </w:tbl>
    <w:p/>
    <w:p>
      <w:pPr>
        <w:pStyle w:val="RuhHeading1"/>
        <w:keepNext/>
        <w:spacing w:before="320" w:after="160"/>
      </w:pPr>
      <w:r>
        <w:t>Executive snapshot</w:t>
      </w:r>
    </w:p>
    <w:p>
      <w:pPr>
        <w:pStyle w:val="Body"/>
        <w:spacing w:after="120" w:before="0" w:line="276" w:lineRule="auto"/>
      </w:pPr>
      <w:r>
        <w:t>The Construction Project Operations Pack is a governed digital-employee bundle for active project execution. It assumes the contractor already has at least one digital system of record - typically a PMIS, a document repository, and team communication channels - but is still spending too many human hours classifying inbound requests, assembling document context, drafting coordination artifacts, chasing overdue items, and preparing recurring reports.</w:t>
      </w:r>
    </w:p>
    <w:p>
      <w:pPr>
        <w:pStyle w:val="Body"/>
        <w:spacing w:after="120" w:before="0" w:line="276" w:lineRule="auto"/>
      </w:pPr>
      <w:r>
        <w:t>The pack exports six default employee templates, six repeatable workflows, connector bindings for PMIS/document/messaging systems, policy profiles for low-to-high-risk actions, and eval suites that prove citation quality, routing correctness, stale-document detection, and approval compliance before promotion.</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304"/>
            <w:vAlign w:val="center"/>
            <w:shd w:fill="DDE8F2" w:val="clear" w:color="auto"/>
          </w:tcPr>
          <w:p>
            <w:pPr>
              <w:pStyle w:val="Body"/>
              <w:jc w:val="center"/>
            </w:pPr>
            <w:r>
              <w:rPr>
                <w:b/>
                <w:sz w:val="18"/>
              </w:rPr>
              <w:t>Pack area</w:t>
            </w:r>
          </w:p>
        </w:tc>
        <w:tc>
          <w:tcPr>
            <w:tcW w:type="dxa" w:w="7200"/>
            <w:vAlign w:val="center"/>
            <w:shd w:fill="DDE8F2" w:val="clear" w:color="auto"/>
          </w:tcPr>
          <w:p>
            <w:pPr>
              <w:pStyle w:val="Body"/>
              <w:jc w:val="center"/>
            </w:pPr>
            <w:r>
              <w:rPr>
                <w:b/>
                <w:sz w:val="18"/>
              </w:rPr>
              <w:t>V1 reference definition</w:t>
            </w:r>
          </w:p>
        </w:tc>
      </w:tr>
      <w:tr>
        <w:tc>
          <w:tcPr>
            <w:tcW w:type="dxa" w:w="2304"/>
            <w:vAlign w:val="center"/>
          </w:tcPr>
          <w:p>
            <w:pPr>
              <w:pStyle w:val="Body"/>
              <w:spacing w:after="60" w:before="40"/>
              <w:jc w:val="left"/>
            </w:pPr>
            <w:r>
              <w:rPr>
                <w:sz w:val="18"/>
              </w:rPr>
              <w:t>Employees</w:t>
            </w:r>
          </w:p>
        </w:tc>
        <w:tc>
          <w:tcPr>
            <w:tcW w:type="dxa" w:w="7200"/>
            <w:vAlign w:val="center"/>
          </w:tcPr>
          <w:p>
            <w:pPr>
              <w:pStyle w:val="Body"/>
              <w:spacing w:after="60" w:before="40"/>
              <w:jc w:val="left"/>
            </w:pPr>
            <w:r>
              <w:rPr>
                <w:sz w:val="18"/>
              </w:rPr>
              <w:t>Project intake coordinator; document controller; RFI coordinator; submittal coordinator; meeting &amp; reporting analyst; action &amp; risk tracker</w:t>
            </w:r>
          </w:p>
        </w:tc>
      </w:tr>
      <w:tr>
        <w:tc>
          <w:tcPr>
            <w:tcW w:type="dxa" w:w="2304"/>
            <w:vAlign w:val="center"/>
          </w:tcPr>
          <w:p>
            <w:pPr>
              <w:pStyle w:val="Body"/>
              <w:spacing w:after="60" w:before="40"/>
              <w:jc w:val="left"/>
            </w:pPr>
            <w:r>
              <w:rPr>
                <w:sz w:val="18"/>
              </w:rPr>
              <w:t>Core workflows</w:t>
            </w:r>
          </w:p>
        </w:tc>
        <w:tc>
          <w:tcPr>
            <w:tcW w:type="dxa" w:w="7200"/>
            <w:vAlign w:val="center"/>
          </w:tcPr>
          <w:p>
            <w:pPr>
              <w:pStyle w:val="Body"/>
              <w:spacing w:after="60" w:before="40"/>
              <w:jc w:val="left"/>
            </w:pPr>
            <w:r>
              <w:rPr>
                <w:sz w:val="18"/>
              </w:rPr>
              <w:t>Correspondence intake; RFI lifecycle; submittal lifecycle; meeting pack + action sync; daily/weekly reporting; issue/risk watchlist</w:t>
            </w:r>
          </w:p>
        </w:tc>
      </w:tr>
      <w:tr>
        <w:tc>
          <w:tcPr>
            <w:tcW w:type="dxa" w:w="2304"/>
            <w:vAlign w:val="center"/>
          </w:tcPr>
          <w:p>
            <w:pPr>
              <w:pStyle w:val="Body"/>
              <w:spacing w:after="60" w:before="40"/>
              <w:jc w:val="left"/>
            </w:pPr>
            <w:r>
              <w:rPr>
                <w:sz w:val="18"/>
              </w:rPr>
              <w:t>Supported capability groups</w:t>
            </w:r>
          </w:p>
        </w:tc>
        <w:tc>
          <w:tcPr>
            <w:tcW w:type="dxa" w:w="7200"/>
            <w:vAlign w:val="center"/>
          </w:tcPr>
          <w:p>
            <w:pPr>
              <w:pStyle w:val="Body"/>
              <w:spacing w:after="60" w:before="40"/>
              <w:jc w:val="left"/>
            </w:pPr>
            <w:r>
              <w:rPr>
                <w:sz w:val="18"/>
              </w:rPr>
              <w:t>PMIS read/write; document repository read/write; email/chat; calendar read; reporting export; optional schedule read</w:t>
            </w:r>
          </w:p>
        </w:tc>
      </w:tr>
      <w:tr>
        <w:tc>
          <w:tcPr>
            <w:tcW w:type="dxa" w:w="2304"/>
            <w:vAlign w:val="center"/>
          </w:tcPr>
          <w:p>
            <w:pPr>
              <w:pStyle w:val="Body"/>
              <w:spacing w:after="60" w:before="40"/>
              <w:jc w:val="left"/>
            </w:pPr>
            <w:r>
              <w:rPr>
                <w:sz w:val="18"/>
              </w:rPr>
              <w:t>Non-negotiable controls</w:t>
            </w:r>
          </w:p>
        </w:tc>
        <w:tc>
          <w:tcPr>
            <w:tcW w:type="dxa" w:w="7200"/>
            <w:vAlign w:val="center"/>
          </w:tcPr>
          <w:p>
            <w:pPr>
              <w:pStyle w:val="Body"/>
              <w:spacing w:after="60" w:before="40"/>
              <w:jc w:val="left"/>
            </w:pPr>
            <w:r>
              <w:rPr>
                <w:sz w:val="18"/>
              </w:rPr>
              <w:t>Citation-first drafting; document revision awareness; human approval for material external writes; immutable audit log</w:t>
            </w:r>
          </w:p>
        </w:tc>
      </w:tr>
      <w:tr>
        <w:tc>
          <w:tcPr>
            <w:tcW w:type="dxa" w:w="2304"/>
            <w:vAlign w:val="center"/>
          </w:tcPr>
          <w:p>
            <w:pPr>
              <w:pStyle w:val="Body"/>
              <w:spacing w:after="60" w:before="40"/>
              <w:jc w:val="left"/>
            </w:pPr>
            <w:r>
              <w:rPr>
                <w:sz w:val="18"/>
              </w:rPr>
              <w:t>Pilot slice</w:t>
            </w:r>
          </w:p>
        </w:tc>
        <w:tc>
          <w:tcPr>
            <w:tcW w:type="dxa" w:w="7200"/>
            <w:vAlign w:val="center"/>
          </w:tcPr>
          <w:p>
            <w:pPr>
              <w:pStyle w:val="Body"/>
              <w:spacing w:after="60" w:before="40"/>
              <w:jc w:val="left"/>
            </w:pPr>
            <w:r>
              <w:rPr>
                <w:sz w:val="18"/>
              </w:rPr>
              <w:t>Intake, RFI, submittal, meeting/action workflows on 2-3 active projects</w:t>
            </w:r>
          </w:p>
        </w:tc>
      </w:tr>
    </w:tbl>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construction_overview.png"/>
                    <pic:cNvPicPr/>
                  </pic:nvPicPr>
                  <pic:blipFill>
                    <a:blip r:embed="rId24"/>
                    <a:stretch>
                      <a:fillRect/>
                    </a:stretch>
                  </pic:blipFill>
                  <pic:spPr>
                    <a:xfrm>
                      <a:off x="0" y="0"/>
                      <a:ext cx="5852160" cy="3291840"/>
                    </a:xfrm>
                    <a:prstGeom prst="rect"/>
                  </pic:spPr>
                </pic:pic>
              </a:graphicData>
            </a:graphic>
          </wp:inline>
        </w:drawing>
      </w:r>
    </w:p>
    <w:p>
      <w:pPr>
        <w:pStyle w:val="Caption"/>
        <w:jc w:val="center"/>
      </w:pPr>
      <w:r>
        <w:t>Figure 1. The construction pack bundles employees, workflows, connectors, and controls into one reusable distribution unit.</w:t>
      </w:r>
    </w:p>
    <w:p>
      <w:pPr>
        <w:pStyle w:val="RuhHeading1"/>
        <w:keepNext/>
        <w:spacing w:before="320" w:after="160"/>
      </w:pPr>
      <w:r>
        <w:t>1. Purpose, scope, and design goals</w:t>
      </w:r>
    </w:p>
    <w:p>
      <w:pPr>
        <w:pStyle w:val="Body"/>
        <w:spacing w:after="120" w:before="0" w:line="276" w:lineRule="auto"/>
      </w:pPr>
      <w:r>
        <w:t>The purpose of this pack is to operationalize the digital-employee platform in the part of construction where cross-company repetition is strongest: document-heavy project operations. The pack should be usable by a general contractor, a larger specialty contractor, or an owner's representative with light overlay changes rather than bespoke workflow engineering.</w:t>
      </w:r>
    </w:p>
    <w:p>
      <w:pPr>
        <w:pStyle w:val="Body"/>
        <w:spacing w:after="120" w:before="0" w:line="276" w:lineRule="auto"/>
      </w:pPr>
      <w:r>
        <w:t>The pack is intentionally narrow in what it automates. It removes administrative drag around coordination, documentation, and follow-through. It does not try to automate field means-and-methods decisions, safety-critical instructions, contractual commitments, or schedule resequencing without direct human ownership.</w:t>
      </w:r>
    </w:p>
    <w:p>
      <w:pPr>
        <w:pStyle w:val="Bullet1"/>
        <w:spacing w:after="60"/>
        <w:ind w:left="288"/>
      </w:pPr>
      <w:r>
        <w:t>Must sit above, not replace, the customer's PMIS, document repository, email, and chat systems.</w:t>
      </w:r>
    </w:p>
    <w:p>
      <w:pPr>
        <w:pStyle w:val="Bullet1"/>
        <w:spacing w:after="60"/>
        <w:ind w:left="288"/>
      </w:pPr>
      <w:r>
        <w:t>Must produce structured artifacts and citations instead of free-form chatbot outputs.</w:t>
      </w:r>
    </w:p>
    <w:p>
      <w:pPr>
        <w:pStyle w:val="Bullet1"/>
        <w:spacing w:after="60"/>
        <w:ind w:left="288"/>
      </w:pPr>
      <w:r>
        <w:t>Must let humans approve external write-backs, owner/designer communication, and any action that changes project record.</w:t>
      </w:r>
    </w:p>
    <w:p>
      <w:pPr>
        <w:pStyle w:val="Bullet1"/>
        <w:spacing w:after="60"/>
        <w:ind w:left="288"/>
      </w:pPr>
      <w:r>
        <w:t>Must support one workspace per project so context, documents, and approvals stay scoped correctly.</w:t>
      </w:r>
    </w:p>
    <w:p>
      <w:pPr>
        <w:pStyle w:val="RuhHeading2"/>
        <w:keepNext/>
        <w:spacing w:before="200" w:after="120"/>
      </w:pPr>
      <w:r>
        <w:t>1.1 Out of scope for V1</w:t>
      </w:r>
    </w:p>
    <w:p>
      <w:pPr>
        <w:pStyle w:val="Bullet1"/>
        <w:spacing w:after="60"/>
        <w:ind w:left="288"/>
      </w:pPr>
      <w:r>
        <w:t>Autonomous schedule changes, financial commitments, pay application decisions, or procurement commitments.</w:t>
      </w:r>
    </w:p>
    <w:p>
      <w:pPr>
        <w:pStyle w:val="Bullet1"/>
        <w:spacing w:after="60"/>
        <w:ind w:left="288"/>
      </w:pPr>
      <w:r>
        <w:t>Safety instructions, means-and-methods recommendations, or field directives that can change physical work without human sign-off.</w:t>
      </w:r>
    </w:p>
    <w:p>
      <w:pPr>
        <w:pStyle w:val="Bullet1"/>
        <w:spacing w:after="60"/>
        <w:ind w:left="288"/>
      </w:pPr>
      <w:r>
        <w:t>Replacing Procore, Autodesk Construction Cloud, SharePoint, Teams, email, or the firm's existing document approval process.</w:t>
      </w:r>
    </w:p>
    <w:p>
      <w:pPr>
        <w:pStyle w:val="RuhHeading1"/>
        <w:keepNext/>
        <w:spacing w:before="320" w:after="160"/>
      </w:pPr>
      <w:r>
        <w:t>2. Target operating model and deployment assumptions</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3389"/>
        <w:gridCol w:w="3389"/>
        <w:gridCol w:w="3389"/>
      </w:tblGrid>
      <w:tr>
        <w:tc>
          <w:tcPr>
            <w:tcW w:type="dxa" w:w="1800"/>
            <w:vAlign w:val="center"/>
            <w:shd w:fill="DDE8F2" w:val="clear" w:color="auto"/>
          </w:tcPr>
          <w:p>
            <w:pPr>
              <w:pStyle w:val="Body"/>
              <w:jc w:val="center"/>
            </w:pPr>
            <w:r>
              <w:rPr>
                <w:b/>
                <w:sz w:val="17"/>
              </w:rPr>
              <w:t>Dimension</w:t>
            </w:r>
          </w:p>
        </w:tc>
        <w:tc>
          <w:tcPr>
            <w:tcW w:type="dxa" w:w="3816"/>
            <w:vAlign w:val="center"/>
            <w:shd w:fill="DDE8F2" w:val="clear" w:color="auto"/>
          </w:tcPr>
          <w:p>
            <w:pPr>
              <w:pStyle w:val="Body"/>
              <w:jc w:val="center"/>
            </w:pPr>
            <w:r>
              <w:rPr>
                <w:b/>
                <w:sz w:val="17"/>
              </w:rPr>
              <w:t>Reference assumption</w:t>
            </w:r>
          </w:p>
        </w:tc>
        <w:tc>
          <w:tcPr>
            <w:tcW w:type="dxa" w:w="3888"/>
            <w:vAlign w:val="center"/>
            <w:shd w:fill="DDE8F2" w:val="clear" w:color="auto"/>
          </w:tcPr>
          <w:p>
            <w:pPr>
              <w:pStyle w:val="Body"/>
              <w:jc w:val="center"/>
            </w:pPr>
            <w:r>
              <w:rPr>
                <w:b/>
                <w:sz w:val="17"/>
              </w:rPr>
              <w:t>Why it matters</w:t>
            </w:r>
          </w:p>
        </w:tc>
      </w:tr>
      <w:tr>
        <w:tc>
          <w:tcPr>
            <w:tcW w:type="dxa" w:w="1800"/>
            <w:vAlign w:val="center"/>
          </w:tcPr>
          <w:p>
            <w:pPr>
              <w:pStyle w:val="Body"/>
              <w:spacing w:after="60" w:before="40"/>
              <w:jc w:val="left"/>
            </w:pPr>
            <w:r>
              <w:rPr>
                <w:sz w:val="17"/>
              </w:rPr>
              <w:t>Tenant boundary</w:t>
            </w:r>
          </w:p>
        </w:tc>
        <w:tc>
          <w:tcPr>
            <w:tcW w:type="dxa" w:w="3816"/>
            <w:vAlign w:val="center"/>
          </w:tcPr>
          <w:p>
            <w:pPr>
              <w:pStyle w:val="Body"/>
              <w:spacing w:after="60" w:before="40"/>
              <w:jc w:val="left"/>
            </w:pPr>
            <w:r>
              <w:rPr>
                <w:sz w:val="17"/>
              </w:rPr>
              <w:t>One contractor or owner organization per deployment boundary</w:t>
            </w:r>
          </w:p>
        </w:tc>
        <w:tc>
          <w:tcPr>
            <w:tcW w:type="dxa" w:w="3888"/>
            <w:vAlign w:val="center"/>
          </w:tcPr>
          <w:p>
            <w:pPr>
              <w:pStyle w:val="Body"/>
              <w:spacing w:after="60" w:before="40"/>
              <w:jc w:val="left"/>
            </w:pPr>
            <w:r>
              <w:rPr>
                <w:sz w:val="17"/>
              </w:rPr>
              <w:t>Matches the platform trust model and keeps secrets, approvals, and audit logs isolated.</w:t>
            </w:r>
          </w:p>
        </w:tc>
      </w:tr>
      <w:tr>
        <w:tc>
          <w:tcPr>
            <w:tcW w:type="dxa" w:w="1800"/>
            <w:vAlign w:val="center"/>
          </w:tcPr>
          <w:p>
            <w:pPr>
              <w:pStyle w:val="Body"/>
              <w:spacing w:after="60" w:before="40"/>
              <w:jc w:val="left"/>
            </w:pPr>
            <w:r>
              <w:rPr>
                <w:sz w:val="17"/>
              </w:rPr>
              <w:t>Workspace model</w:t>
            </w:r>
          </w:p>
        </w:tc>
        <w:tc>
          <w:tcPr>
            <w:tcW w:type="dxa" w:w="3816"/>
            <w:vAlign w:val="center"/>
          </w:tcPr>
          <w:p>
            <w:pPr>
              <w:pStyle w:val="Body"/>
              <w:spacing w:after="60" w:before="40"/>
              <w:jc w:val="left"/>
            </w:pPr>
            <w:r>
              <w:rPr>
                <w:sz w:val="17"/>
              </w:rPr>
              <w:t>One workspace per project; optional portfolio workspace for leadership reporting</w:t>
            </w:r>
          </w:p>
        </w:tc>
        <w:tc>
          <w:tcPr>
            <w:tcW w:type="dxa" w:w="3888"/>
            <w:vAlign w:val="center"/>
          </w:tcPr>
          <w:p>
            <w:pPr>
              <w:pStyle w:val="Body"/>
              <w:spacing w:after="60" w:before="40"/>
              <w:jc w:val="left"/>
            </w:pPr>
            <w:r>
              <w:rPr>
                <w:sz w:val="17"/>
              </w:rPr>
              <w:t>Prevents document and action contamination across jobs.</w:t>
            </w:r>
          </w:p>
        </w:tc>
      </w:tr>
      <w:tr>
        <w:tc>
          <w:tcPr>
            <w:tcW w:type="dxa" w:w="1800"/>
            <w:vAlign w:val="center"/>
          </w:tcPr>
          <w:p>
            <w:pPr>
              <w:pStyle w:val="Body"/>
              <w:spacing w:after="60" w:before="40"/>
              <w:jc w:val="left"/>
            </w:pPr>
            <w:r>
              <w:rPr>
                <w:sz w:val="17"/>
              </w:rPr>
              <w:t>Primary operators</w:t>
            </w:r>
          </w:p>
        </w:tc>
        <w:tc>
          <w:tcPr>
            <w:tcW w:type="dxa" w:w="3816"/>
            <w:vAlign w:val="center"/>
          </w:tcPr>
          <w:p>
            <w:pPr>
              <w:pStyle w:val="Body"/>
              <w:spacing w:after="60" w:before="40"/>
              <w:jc w:val="left"/>
            </w:pPr>
            <w:r>
              <w:rPr>
                <w:sz w:val="17"/>
              </w:rPr>
              <w:t>Project engineer, project manager, coordinator, document control lead, operations leader</w:t>
            </w:r>
          </w:p>
        </w:tc>
        <w:tc>
          <w:tcPr>
            <w:tcW w:type="dxa" w:w="3888"/>
            <w:vAlign w:val="center"/>
          </w:tcPr>
          <w:p>
            <w:pPr>
              <w:pStyle w:val="Body"/>
              <w:spacing w:after="60" w:before="40"/>
              <w:jc w:val="left"/>
            </w:pPr>
            <w:r>
              <w:rPr>
                <w:sz w:val="17"/>
              </w:rPr>
              <w:t>These roles feel the coordination pain first and can approve outputs.</w:t>
            </w:r>
          </w:p>
        </w:tc>
      </w:tr>
      <w:tr>
        <w:tc>
          <w:tcPr>
            <w:tcW w:type="dxa" w:w="1800"/>
            <w:vAlign w:val="center"/>
          </w:tcPr>
          <w:p>
            <w:pPr>
              <w:pStyle w:val="Body"/>
              <w:spacing w:after="60" w:before="40"/>
              <w:jc w:val="left"/>
            </w:pPr>
            <w:r>
              <w:rPr>
                <w:sz w:val="17"/>
              </w:rPr>
              <w:t>System of record</w:t>
            </w:r>
          </w:p>
        </w:tc>
        <w:tc>
          <w:tcPr>
            <w:tcW w:type="dxa" w:w="3816"/>
            <w:vAlign w:val="center"/>
          </w:tcPr>
          <w:p>
            <w:pPr>
              <w:pStyle w:val="Body"/>
              <w:spacing w:after="60" w:before="40"/>
              <w:jc w:val="left"/>
            </w:pPr>
            <w:r>
              <w:rPr>
                <w:sz w:val="17"/>
              </w:rPr>
              <w:t>At least one PMIS and one document repository are already in use</w:t>
            </w:r>
          </w:p>
        </w:tc>
        <w:tc>
          <w:tcPr>
            <w:tcW w:type="dxa" w:w="3888"/>
            <w:vAlign w:val="center"/>
          </w:tcPr>
          <w:p>
            <w:pPr>
              <w:pStyle w:val="Body"/>
              <w:spacing w:after="60" w:before="40"/>
              <w:jc w:val="left"/>
            </w:pPr>
            <w:r>
              <w:rPr>
                <w:sz w:val="17"/>
              </w:rPr>
              <w:t>The pack writes back into real workflows instead of creating a parallel shadow system.</w:t>
            </w:r>
          </w:p>
        </w:tc>
      </w:tr>
      <w:tr>
        <w:tc>
          <w:tcPr>
            <w:tcW w:type="dxa" w:w="1800"/>
            <w:vAlign w:val="center"/>
          </w:tcPr>
          <w:p>
            <w:pPr>
              <w:pStyle w:val="Body"/>
              <w:spacing w:after="60" w:before="40"/>
              <w:jc w:val="left"/>
            </w:pPr>
            <w:r>
              <w:rPr>
                <w:sz w:val="17"/>
              </w:rPr>
              <w:t>Message channels</w:t>
            </w:r>
          </w:p>
        </w:tc>
        <w:tc>
          <w:tcPr>
            <w:tcW w:type="dxa" w:w="3816"/>
            <w:vAlign w:val="center"/>
          </w:tcPr>
          <w:p>
            <w:pPr>
              <w:pStyle w:val="Body"/>
              <w:spacing w:after="60" w:before="40"/>
              <w:jc w:val="left"/>
            </w:pPr>
            <w:r>
              <w:rPr>
                <w:sz w:val="17"/>
              </w:rPr>
              <w:t>Email plus Slack or Teams are present; calendar access is available for meeting workflows</w:t>
            </w:r>
          </w:p>
        </w:tc>
        <w:tc>
          <w:tcPr>
            <w:tcW w:type="dxa" w:w="3888"/>
            <w:vAlign w:val="center"/>
          </w:tcPr>
          <w:p>
            <w:pPr>
              <w:pStyle w:val="Body"/>
              <w:spacing w:after="60" w:before="40"/>
              <w:jc w:val="left"/>
            </w:pPr>
            <w:r>
              <w:rPr>
                <w:sz w:val="17"/>
              </w:rPr>
              <w:t>The pack must meet teams where they already work.</w:t>
            </w:r>
          </w:p>
        </w:tc>
      </w:tr>
      <w:tr>
        <w:tc>
          <w:tcPr>
            <w:tcW w:type="dxa" w:w="1800"/>
            <w:vAlign w:val="center"/>
          </w:tcPr>
          <w:p>
            <w:pPr>
              <w:pStyle w:val="Body"/>
              <w:spacing w:after="60" w:before="40"/>
              <w:jc w:val="left"/>
            </w:pPr>
            <w:r>
              <w:rPr>
                <w:sz w:val="17"/>
              </w:rPr>
              <w:t>Rollout mode</w:t>
            </w:r>
          </w:p>
        </w:tc>
        <w:tc>
          <w:tcPr>
            <w:tcW w:type="dxa" w:w="3816"/>
            <w:vAlign w:val="center"/>
          </w:tcPr>
          <w:p>
            <w:pPr>
              <w:pStyle w:val="Body"/>
              <w:spacing w:after="60" w:before="40"/>
              <w:jc w:val="left"/>
            </w:pPr>
            <w:r>
              <w:rPr>
                <w:sz w:val="17"/>
              </w:rPr>
              <w:t>Pilot 2-3 active projects before portfolio template rollout</w:t>
            </w:r>
          </w:p>
        </w:tc>
        <w:tc>
          <w:tcPr>
            <w:tcW w:type="dxa" w:w="3888"/>
            <w:vAlign w:val="center"/>
          </w:tcPr>
          <w:p>
            <w:pPr>
              <w:pStyle w:val="Body"/>
              <w:spacing w:after="60" w:before="40"/>
              <w:jc w:val="left"/>
            </w:pPr>
            <w:r>
              <w:rPr>
                <w:sz w:val="17"/>
              </w:rPr>
              <w:t>Needed to tune vocabulary, approval rules, and provider overlays.</w:t>
            </w:r>
          </w:p>
        </w:tc>
      </w:tr>
    </w:tbl>
    <w:p/>
    <w:tbl>
      <w:tblPr>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10166"/>
      </w:tblGrid>
      <w:tr>
        <w:tc>
          <w:tcPr>
            <w:tcW w:type="dxa" w:w="9648"/>
            <w:shd w:fill="F7EDD1" w:val="clear" w:color="auto"/>
            <w:vAlign w:val="center"/>
          </w:tcPr>
          <w:p>
            <w:pPr>
              <w:pStyle w:val="Body"/>
              <w:spacing w:after="80"/>
            </w:pPr>
            <w:r/>
            <w:r>
              <w:rPr>
                <w:b/>
              </w:rPr>
              <w:t>Supported customer archetypes</w:t>
            </w:r>
          </w:p>
          <w:p>
            <w:pPr>
              <w:pStyle w:val="Bullet1"/>
              <w:spacing w:after="40"/>
              <w:ind w:left="216"/>
            </w:pPr>
            <w:r>
              <w:t>General contractor with PM/PE-heavy document coordination burden.</w:t>
            </w:r>
          </w:p>
          <w:p>
            <w:pPr>
              <w:pStyle w:val="Bullet1"/>
              <w:spacing w:after="40"/>
              <w:ind w:left="216"/>
            </w:pPr>
            <w:r>
              <w:t>Specialty contractor managing shop drawings, RFIs, and submittals with lean office staff.</w:t>
            </w:r>
          </w:p>
          <w:p>
            <w:pPr>
              <w:pStyle w:val="Bullet1"/>
              <w:spacing w:after="40"/>
              <w:ind w:left="216"/>
            </w:pPr>
            <w:r>
              <w:t>Owner's rep or construction management firm that needs cleaner status summaries and action tracking across projects.</w:t>
            </w:r>
          </w:p>
        </w:tc>
      </w:tr>
    </w:tbl>
    <w:p/>
    <w:p>
      <w:pPr>
        <w:pStyle w:val="RuhHeading1"/>
        <w:keepNext/>
        <w:spacing w:before="320" w:after="160"/>
      </w:pPr>
      <w:r>
        <w:t>3. Pack identity, dependency model, and exported assets</w:t>
      </w:r>
    </w:p>
    <w:p>
      <w:pPr>
        <w:pStyle w:val="Body"/>
        <w:spacing w:after="120" w:before="0" w:line="276" w:lineRule="auto"/>
      </w:pPr>
      <w:r>
        <w:t>This pack is an industry reference pack, not a provider pack. It declares normalized construction capabilities and exported employee templates while relying on provider overlays to bind those capabilities to Procore, Autodesk Construction Cloud, SharePoint, Box, Teams, Slack, email, and other supported systems.</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8"/>
              </w:rPr>
              <w:t>Manifest field</w:t>
            </w:r>
          </w:p>
        </w:tc>
        <w:tc>
          <w:tcPr>
            <w:tcW w:type="dxa" w:w="6623"/>
            <w:vAlign w:val="center"/>
            <w:shd w:fill="DDE8F2" w:val="clear" w:color="auto"/>
          </w:tcPr>
          <w:p>
            <w:pPr>
              <w:pStyle w:val="Body"/>
              <w:jc w:val="center"/>
            </w:pPr>
            <w:r>
              <w:rPr>
                <w:b/>
                <w:sz w:val="18"/>
              </w:rPr>
              <w:t>Reference value</w:t>
            </w:r>
          </w:p>
        </w:tc>
      </w:tr>
      <w:tr>
        <w:tc>
          <w:tcPr>
            <w:tcW w:type="dxa" w:w="2880"/>
            <w:vAlign w:val="center"/>
          </w:tcPr>
          <w:p>
            <w:pPr>
              <w:pStyle w:val="Body"/>
              <w:spacing w:after="60" w:before="40"/>
              <w:jc w:val="left"/>
            </w:pPr>
            <w:r>
              <w:rPr>
                <w:sz w:val="18"/>
              </w:rPr>
              <w:t>id</w:t>
            </w:r>
          </w:p>
        </w:tc>
        <w:tc>
          <w:tcPr>
            <w:tcW w:type="dxa" w:w="6623"/>
            <w:vAlign w:val="center"/>
          </w:tcPr>
          <w:p>
            <w:pPr>
              <w:pStyle w:val="Body"/>
              <w:spacing w:after="60" w:before="40"/>
              <w:jc w:val="left"/>
            </w:pPr>
            <w:r>
              <w:rPr>
                <w:sz w:val="18"/>
              </w:rPr>
              <w:t>ref.construction.project-ops</w:t>
            </w:r>
          </w:p>
        </w:tc>
      </w:tr>
      <w:tr>
        <w:tc>
          <w:tcPr>
            <w:tcW w:type="dxa" w:w="2880"/>
            <w:vAlign w:val="center"/>
          </w:tcPr>
          <w:p>
            <w:pPr>
              <w:pStyle w:val="Body"/>
              <w:spacing w:after="60" w:before="40"/>
              <w:jc w:val="left"/>
            </w:pPr>
            <w:r>
              <w:rPr>
                <w:sz w:val="18"/>
              </w:rPr>
              <w:t>version</w:t>
            </w:r>
          </w:p>
        </w:tc>
        <w:tc>
          <w:tcPr>
            <w:tcW w:type="dxa" w:w="6623"/>
            <w:vAlign w:val="center"/>
          </w:tcPr>
          <w:p>
            <w:pPr>
              <w:pStyle w:val="Body"/>
              <w:spacing w:after="60" w:before="40"/>
              <w:jc w:val="left"/>
            </w:pPr>
            <w:r>
              <w:rPr>
                <w:sz w:val="18"/>
              </w:rPr>
              <w:t>1.0.0</w:t>
            </w:r>
          </w:p>
        </w:tc>
      </w:tr>
      <w:tr>
        <w:tc>
          <w:tcPr>
            <w:tcW w:type="dxa" w:w="2880"/>
            <w:vAlign w:val="center"/>
          </w:tcPr>
          <w:p>
            <w:pPr>
              <w:pStyle w:val="Body"/>
              <w:spacing w:after="60" w:before="40"/>
              <w:jc w:val="left"/>
            </w:pPr>
            <w:r>
              <w:rPr>
                <w:sz w:val="18"/>
              </w:rPr>
              <w:t>packType</w:t>
            </w:r>
          </w:p>
        </w:tc>
        <w:tc>
          <w:tcPr>
            <w:tcW w:type="dxa" w:w="6623"/>
            <w:vAlign w:val="center"/>
          </w:tcPr>
          <w:p>
            <w:pPr>
              <w:pStyle w:val="Body"/>
              <w:spacing w:after="60" w:before="40"/>
              <w:jc w:val="left"/>
            </w:pPr>
            <w:r>
              <w:rPr>
                <w:sz w:val="18"/>
              </w:rPr>
              <w:t>industry-reference</w:t>
            </w:r>
          </w:p>
        </w:tc>
      </w:tr>
      <w:tr>
        <w:tc>
          <w:tcPr>
            <w:tcW w:type="dxa" w:w="2880"/>
            <w:vAlign w:val="center"/>
          </w:tcPr>
          <w:p>
            <w:pPr>
              <w:pStyle w:val="Body"/>
              <w:spacing w:after="60" w:before="40"/>
              <w:jc w:val="left"/>
            </w:pPr>
            <w:r>
              <w:rPr>
                <w:sz w:val="18"/>
              </w:rPr>
              <w:t>dependsOn</w:t>
            </w:r>
          </w:p>
        </w:tc>
        <w:tc>
          <w:tcPr>
            <w:tcW w:type="dxa" w:w="6623"/>
            <w:vAlign w:val="center"/>
          </w:tcPr>
          <w:p>
            <w:pPr>
              <w:pStyle w:val="Body"/>
              <w:spacing w:after="60" w:before="40"/>
              <w:jc w:val="left"/>
            </w:pPr>
            <w:r>
              <w:rPr>
                <w:sz w:val="18"/>
              </w:rPr>
              <w:t>ruh.foundation.runtime; ruh.foundation.approvals; ruh.foundation.documents; provider overlays</w:t>
            </w:r>
          </w:p>
        </w:tc>
      </w:tr>
      <w:tr>
        <w:tc>
          <w:tcPr>
            <w:tcW w:type="dxa" w:w="2880"/>
            <w:vAlign w:val="center"/>
          </w:tcPr>
          <w:p>
            <w:pPr>
              <w:pStyle w:val="Body"/>
              <w:spacing w:after="60" w:before="40"/>
              <w:jc w:val="left"/>
            </w:pPr>
            <w:r>
              <w:rPr>
                <w:sz w:val="18"/>
              </w:rPr>
              <w:t>exports.employeeTemplates</w:t>
            </w:r>
          </w:p>
        </w:tc>
        <w:tc>
          <w:tcPr>
            <w:tcW w:type="dxa" w:w="6623"/>
            <w:vAlign w:val="center"/>
          </w:tcPr>
          <w:p>
            <w:pPr>
              <w:pStyle w:val="Body"/>
              <w:spacing w:after="60" w:before="40"/>
              <w:jc w:val="left"/>
            </w:pPr>
            <w:r>
              <w:rPr>
                <w:sz w:val="18"/>
              </w:rPr>
              <w:t>6</w:t>
            </w:r>
          </w:p>
        </w:tc>
      </w:tr>
      <w:tr>
        <w:tc>
          <w:tcPr>
            <w:tcW w:type="dxa" w:w="2880"/>
            <w:vAlign w:val="center"/>
          </w:tcPr>
          <w:p>
            <w:pPr>
              <w:pStyle w:val="Body"/>
              <w:spacing w:after="60" w:before="40"/>
              <w:jc w:val="left"/>
            </w:pPr>
            <w:r>
              <w:rPr>
                <w:sz w:val="18"/>
              </w:rPr>
              <w:t>exports.workflowTemplates</w:t>
            </w:r>
          </w:p>
        </w:tc>
        <w:tc>
          <w:tcPr>
            <w:tcW w:type="dxa" w:w="6623"/>
            <w:vAlign w:val="center"/>
          </w:tcPr>
          <w:p>
            <w:pPr>
              <w:pStyle w:val="Body"/>
              <w:spacing w:after="60" w:before="40"/>
              <w:jc w:val="left"/>
            </w:pPr>
            <w:r>
              <w:rPr>
                <w:sz w:val="18"/>
              </w:rPr>
              <w:t>6</w:t>
            </w:r>
          </w:p>
        </w:tc>
      </w:tr>
      <w:tr>
        <w:tc>
          <w:tcPr>
            <w:tcW w:type="dxa" w:w="2880"/>
            <w:vAlign w:val="center"/>
          </w:tcPr>
          <w:p>
            <w:pPr>
              <w:pStyle w:val="Body"/>
              <w:spacing w:after="60" w:before="40"/>
              <w:jc w:val="left"/>
            </w:pPr>
            <w:r>
              <w:rPr>
                <w:sz w:val="18"/>
              </w:rPr>
              <w:t>defaultPolicyProfile</w:t>
            </w:r>
          </w:p>
        </w:tc>
        <w:tc>
          <w:tcPr>
            <w:tcW w:type="dxa" w:w="6623"/>
            <w:vAlign w:val="center"/>
          </w:tcPr>
          <w:p>
            <w:pPr>
              <w:pStyle w:val="Body"/>
              <w:spacing w:after="60" w:before="40"/>
              <w:jc w:val="left"/>
            </w:pPr>
            <w:r>
              <w:rPr>
                <w:sz w:val="18"/>
              </w:rPr>
              <w:t>construction-project-ops-default</w:t>
            </w:r>
          </w:p>
        </w:tc>
      </w:tr>
      <w:tr>
        <w:tc>
          <w:tcPr>
            <w:tcW w:type="dxa" w:w="2880"/>
            <w:vAlign w:val="center"/>
          </w:tcPr>
          <w:p>
            <w:pPr>
              <w:pStyle w:val="Body"/>
              <w:spacing w:after="60" w:before="40"/>
              <w:jc w:val="left"/>
            </w:pPr>
            <w:r>
              <w:rPr>
                <w:sz w:val="18"/>
              </w:rPr>
              <w:t>defaultEvalSuite</w:t>
            </w:r>
          </w:p>
        </w:tc>
        <w:tc>
          <w:tcPr>
            <w:tcW w:type="dxa" w:w="6623"/>
            <w:vAlign w:val="center"/>
          </w:tcPr>
          <w:p>
            <w:pPr>
              <w:pStyle w:val="Body"/>
              <w:spacing w:after="60" w:before="40"/>
              <w:jc w:val="left"/>
            </w:pPr>
            <w:r>
              <w:rPr>
                <w:sz w:val="18"/>
              </w:rPr>
              <w:t>construction-project-ops-core</w:t>
            </w:r>
          </w:p>
        </w:tc>
      </w:tr>
    </w:tbl>
    <w:p/>
    <w:p>
      <w:pPr>
        <w:pStyle w:val="RuhHeading2"/>
        <w:keepNext/>
        <w:spacing w:before="200" w:after="120"/>
      </w:pPr>
      <w:r>
        <w:t>3.1 Suggested source tree</w:t>
      </w:r>
    </w:p>
    <w:tbl>
      <w:tblPr>
        <w:tblW w:type="auto" w:w="0"/>
        <w:jc w:val="left"/>
        <w:tblLook w:firstColumn="1" w:firstRow="1" w:lastColumn="0" w:lastRow="0" w:noHBand="0" w:noVBand="1" w:val="04A0"/>
        <w:tblBorders>
          <w:top w:val="single" w:sz="4" w:space="0" w:color="C7CDD3"/>
          <w:left w:val="single" w:sz="4" w:space="0" w:color="C7CDD3"/>
          <w:bottom w:val="single" w:sz="4" w:space="0" w:color="C7CDD3"/>
          <w:right w:val="single" w:sz="4" w:space="0" w:color="C7CDD3"/>
          <w:insideH w:val="single" w:sz="4" w:space="0" w:color="C7CDD3"/>
          <w:insideV w:val="single" w:sz="4" w:space="0" w:color="C7CDD3"/>
        </w:tblBorders>
      </w:tblPr>
      <w:tblGrid>
        <w:gridCol w:w="10166"/>
      </w:tblGrid>
      <w:tr>
        <w:tc>
          <w:tcPr>
            <w:tcW w:type="dxa" w:w="9648"/>
            <w:shd w:fill="EFF2F5" w:val="clear" w:color="auto"/>
          </w:tcPr>
          <w:p>
            <w:pPr>
              <w:pStyle w:val="Body"/>
              <w:spacing w:after="0" w:before="0"/>
            </w:pPr>
            <w:r/>
            <w:r>
              <w:rPr>
                <w:rFonts w:ascii="Courier New" w:hAnsi="Courier New"/>
                <w:sz w:val="17"/>
              </w:rPr>
              <w:t>construction.project-ops/</w:t>
            </w:r>
          </w:p>
          <w:p>
            <w:pPr>
              <w:pStyle w:val="Body"/>
              <w:spacing w:after="0" w:before="0"/>
            </w:pPr>
            <w:r>
              <w:rPr>
                <w:rFonts w:ascii="Courier New" w:hAnsi="Courier New"/>
                <w:sz w:val="17"/>
              </w:rPr>
              <w:t xml:space="preserve">  pack.yaml</w:t>
            </w:r>
          </w:p>
          <w:p>
            <w:pPr>
              <w:pStyle w:val="Body"/>
              <w:spacing w:after="0" w:before="0"/>
            </w:pPr>
            <w:r>
              <w:rPr>
                <w:rFonts w:ascii="Courier New" w:hAnsi="Courier New"/>
                <w:sz w:val="17"/>
              </w:rPr>
              <w:t xml:space="preserve">  README.md</w:t>
            </w:r>
          </w:p>
          <w:p>
            <w:pPr>
              <w:pStyle w:val="Body"/>
              <w:spacing w:after="0" w:before="0"/>
            </w:pPr>
            <w:r>
              <w:rPr>
                <w:rFonts w:ascii="Courier New" w:hAnsi="Courier New"/>
                <w:sz w:val="17"/>
              </w:rPr>
              <w:t xml:space="preserve">  employees/</w:t>
            </w:r>
          </w:p>
          <w:p>
            <w:pPr>
              <w:pStyle w:val="Body"/>
              <w:spacing w:after="0" w:before="0"/>
            </w:pPr>
            <w:r>
              <w:rPr>
                <w:rFonts w:ascii="Courier New" w:hAnsi="Courier New"/>
                <w:sz w:val="17"/>
              </w:rPr>
              <w:t xml:space="preserve">    intake-coordinator.yaml</w:t>
            </w:r>
          </w:p>
          <w:p>
            <w:pPr>
              <w:pStyle w:val="Body"/>
              <w:spacing w:after="0" w:before="0"/>
            </w:pPr>
            <w:r>
              <w:rPr>
                <w:rFonts w:ascii="Courier New" w:hAnsi="Courier New"/>
                <w:sz w:val="17"/>
              </w:rPr>
              <w:t xml:space="preserve">    document-controller.yaml</w:t>
            </w:r>
          </w:p>
          <w:p>
            <w:pPr>
              <w:pStyle w:val="Body"/>
              <w:spacing w:after="0" w:before="0"/>
            </w:pPr>
            <w:r>
              <w:rPr>
                <w:rFonts w:ascii="Courier New" w:hAnsi="Courier New"/>
                <w:sz w:val="17"/>
              </w:rPr>
              <w:t xml:space="preserve">    rfi-coordinator.yaml</w:t>
            </w:r>
          </w:p>
          <w:p>
            <w:pPr>
              <w:pStyle w:val="Body"/>
              <w:spacing w:after="0" w:before="0"/>
            </w:pPr>
            <w:r>
              <w:rPr>
                <w:rFonts w:ascii="Courier New" w:hAnsi="Courier New"/>
                <w:sz w:val="17"/>
              </w:rPr>
              <w:t xml:space="preserve">    submittal-coordinator.yaml</w:t>
            </w:r>
          </w:p>
          <w:p>
            <w:pPr>
              <w:pStyle w:val="Body"/>
              <w:spacing w:after="0" w:before="0"/>
            </w:pPr>
            <w:r>
              <w:rPr>
                <w:rFonts w:ascii="Courier New" w:hAnsi="Courier New"/>
                <w:sz w:val="17"/>
              </w:rPr>
              <w:t xml:space="preserve">    meeting-reporting-analyst.yaml</w:t>
            </w:r>
          </w:p>
          <w:p>
            <w:pPr>
              <w:pStyle w:val="Body"/>
              <w:spacing w:after="0" w:before="0"/>
            </w:pPr>
            <w:r>
              <w:rPr>
                <w:rFonts w:ascii="Courier New" w:hAnsi="Courier New"/>
                <w:sz w:val="17"/>
              </w:rPr>
              <w:t xml:space="preserve">    action-risk-tracker.yaml</w:t>
            </w:r>
          </w:p>
          <w:p>
            <w:pPr>
              <w:pStyle w:val="Body"/>
              <w:spacing w:after="0" w:before="0"/>
            </w:pPr>
            <w:r>
              <w:rPr>
                <w:rFonts w:ascii="Courier New" w:hAnsi="Courier New"/>
                <w:sz w:val="17"/>
              </w:rPr>
              <w:t xml:space="preserve">  workflows/</w:t>
            </w:r>
          </w:p>
          <w:p>
            <w:pPr>
              <w:pStyle w:val="Body"/>
              <w:spacing w:after="0" w:before="0"/>
            </w:pPr>
            <w:r>
              <w:rPr>
                <w:rFonts w:ascii="Courier New" w:hAnsi="Courier New"/>
                <w:sz w:val="17"/>
              </w:rPr>
              <w:t xml:space="preserve">    correspondence-intake.yaml</w:t>
            </w:r>
          </w:p>
          <w:p>
            <w:pPr>
              <w:pStyle w:val="Body"/>
              <w:spacing w:after="0" w:before="0"/>
            </w:pPr>
            <w:r>
              <w:rPr>
                <w:rFonts w:ascii="Courier New" w:hAnsi="Courier New"/>
                <w:sz w:val="17"/>
              </w:rPr>
              <w:t xml:space="preserve">    rfi-lifecycle.yaml</w:t>
            </w:r>
          </w:p>
          <w:p>
            <w:pPr>
              <w:pStyle w:val="Body"/>
              <w:spacing w:after="0" w:before="0"/>
            </w:pPr>
            <w:r>
              <w:rPr>
                <w:rFonts w:ascii="Courier New" w:hAnsi="Courier New"/>
                <w:sz w:val="17"/>
              </w:rPr>
              <w:t xml:space="preserve">    submittal-lifecycle.yaml</w:t>
            </w:r>
          </w:p>
          <w:p>
            <w:pPr>
              <w:pStyle w:val="Body"/>
              <w:spacing w:after="0" w:before="0"/>
            </w:pPr>
            <w:r>
              <w:rPr>
                <w:rFonts w:ascii="Courier New" w:hAnsi="Courier New"/>
                <w:sz w:val="17"/>
              </w:rPr>
              <w:t xml:space="preserve">    meeting-pack-action-sync.yaml</w:t>
            </w:r>
          </w:p>
          <w:p>
            <w:pPr>
              <w:pStyle w:val="Body"/>
              <w:spacing w:after="0" w:before="0"/>
            </w:pPr>
            <w:r>
              <w:rPr>
                <w:rFonts w:ascii="Courier New" w:hAnsi="Courier New"/>
                <w:sz w:val="17"/>
              </w:rPr>
              <w:t xml:space="preserve">    daily-weekly-reporting.yaml</w:t>
            </w:r>
          </w:p>
          <w:p>
            <w:pPr>
              <w:pStyle w:val="Body"/>
              <w:spacing w:after="0" w:before="0"/>
            </w:pPr>
            <w:r>
              <w:rPr>
                <w:rFonts w:ascii="Courier New" w:hAnsi="Courier New"/>
                <w:sz w:val="17"/>
              </w:rPr>
              <w:t xml:space="preserve">    issue-risk-watchlist.yaml</w:t>
            </w:r>
          </w:p>
          <w:p>
            <w:pPr>
              <w:pStyle w:val="Body"/>
              <w:spacing w:after="0" w:before="0"/>
            </w:pPr>
            <w:r>
              <w:rPr>
                <w:rFonts w:ascii="Courier New" w:hAnsi="Courier New"/>
                <w:sz w:val="17"/>
              </w:rPr>
              <w:t xml:space="preserve">  artifacts/</w:t>
            </w:r>
          </w:p>
          <w:p>
            <w:pPr>
              <w:pStyle w:val="Body"/>
              <w:spacing w:after="0" w:before="0"/>
            </w:pPr>
            <w:r>
              <w:rPr>
                <w:rFonts w:ascii="Courier New" w:hAnsi="Courier New"/>
                <w:sz w:val="17"/>
              </w:rPr>
              <w:t xml:space="preserve">    intake-brief.schema.json</w:t>
            </w:r>
          </w:p>
          <w:p>
            <w:pPr>
              <w:pStyle w:val="Body"/>
              <w:spacing w:after="0" w:before="0"/>
            </w:pPr>
            <w:r>
              <w:rPr>
                <w:rFonts w:ascii="Courier New" w:hAnsi="Courier New"/>
                <w:sz w:val="17"/>
              </w:rPr>
              <w:t xml:space="preserve">    rfi-draft.schema.json</w:t>
            </w:r>
          </w:p>
          <w:p>
            <w:pPr>
              <w:pStyle w:val="Body"/>
              <w:spacing w:after="0" w:before="0"/>
            </w:pPr>
            <w:r>
              <w:rPr>
                <w:rFonts w:ascii="Courier New" w:hAnsi="Courier New"/>
                <w:sz w:val="17"/>
              </w:rPr>
              <w:t xml:space="preserve">    submittal-completeness.schema.json</w:t>
            </w:r>
          </w:p>
          <w:p>
            <w:pPr>
              <w:pStyle w:val="Body"/>
              <w:spacing w:after="0" w:before="0"/>
            </w:pPr>
            <w:r>
              <w:rPr>
                <w:rFonts w:ascii="Courier New" w:hAnsi="Courier New"/>
                <w:sz w:val="17"/>
              </w:rPr>
              <w:t xml:space="preserve">    meeting-pack.schema.json</w:t>
            </w:r>
          </w:p>
          <w:p>
            <w:pPr>
              <w:pStyle w:val="Body"/>
              <w:spacing w:after="0" w:before="0"/>
            </w:pPr>
            <w:r>
              <w:rPr>
                <w:rFonts w:ascii="Courier New" w:hAnsi="Courier New"/>
                <w:sz w:val="17"/>
              </w:rPr>
              <w:t xml:space="preserve">    action-register-delta.schema.json</w:t>
            </w:r>
          </w:p>
          <w:p>
            <w:pPr>
              <w:pStyle w:val="Body"/>
              <w:spacing w:after="0" w:before="0"/>
            </w:pPr>
            <w:r>
              <w:rPr>
                <w:rFonts w:ascii="Courier New" w:hAnsi="Courier New"/>
                <w:sz w:val="17"/>
              </w:rPr>
              <w:t xml:space="preserve">  skills/</w:t>
            </w:r>
          </w:p>
          <w:p>
            <w:pPr>
              <w:pStyle w:val="Body"/>
              <w:spacing w:after="0" w:before="0"/>
            </w:pPr>
            <w:r>
              <w:rPr>
                <w:rFonts w:ascii="Courier New" w:hAnsi="Courier New"/>
                <w:sz w:val="17"/>
              </w:rPr>
              <w:t xml:space="preserve">    document-resolution/</w:t>
            </w:r>
          </w:p>
          <w:p>
            <w:pPr>
              <w:pStyle w:val="Body"/>
              <w:spacing w:after="0" w:before="0"/>
            </w:pPr>
            <w:r>
              <w:rPr>
                <w:rFonts w:ascii="Courier New" w:hAnsi="Courier New"/>
                <w:sz w:val="17"/>
              </w:rPr>
              <w:t xml:space="preserve">    pmis-writeback/</w:t>
            </w:r>
          </w:p>
          <w:p>
            <w:pPr>
              <w:pStyle w:val="Body"/>
              <w:spacing w:after="0" w:before="0"/>
            </w:pPr>
            <w:r>
              <w:rPr>
                <w:rFonts w:ascii="Courier New" w:hAnsi="Courier New"/>
                <w:sz w:val="17"/>
              </w:rPr>
              <w:t xml:space="preserve">    report-export/</w:t>
            </w:r>
          </w:p>
          <w:p>
            <w:pPr>
              <w:pStyle w:val="Body"/>
              <w:spacing w:after="0" w:before="0"/>
            </w:pPr>
            <w:r>
              <w:rPr>
                <w:rFonts w:ascii="Courier New" w:hAnsi="Courier New"/>
                <w:sz w:val="17"/>
              </w:rPr>
              <w:t xml:space="preserve">  evals/</w:t>
            </w:r>
          </w:p>
          <w:p>
            <w:pPr>
              <w:pStyle w:val="Body"/>
              <w:spacing w:after="0" w:before="0"/>
            </w:pPr>
            <w:r>
              <w:rPr>
                <w:rFonts w:ascii="Courier New" w:hAnsi="Courier New"/>
                <w:sz w:val="17"/>
              </w:rPr>
              <w:t xml:space="preserve">    routing/</w:t>
            </w:r>
          </w:p>
          <w:p>
            <w:pPr>
              <w:pStyle w:val="Body"/>
              <w:spacing w:after="0" w:before="0"/>
            </w:pPr>
            <w:r>
              <w:rPr>
                <w:rFonts w:ascii="Courier New" w:hAnsi="Courier New"/>
                <w:sz w:val="17"/>
              </w:rPr>
              <w:t xml:space="preserve">    citations/</w:t>
            </w:r>
          </w:p>
          <w:p>
            <w:pPr>
              <w:pStyle w:val="Body"/>
              <w:spacing w:after="0" w:before="0"/>
            </w:pPr>
            <w:r>
              <w:rPr>
                <w:rFonts w:ascii="Courier New" w:hAnsi="Courier New"/>
                <w:sz w:val="17"/>
              </w:rPr>
              <w:t xml:space="preserve">    approvals/</w:t>
            </w:r>
          </w:p>
          <w:p>
            <w:pPr>
              <w:pStyle w:val="Body"/>
              <w:spacing w:after="0" w:before="0"/>
            </w:pPr>
            <w:r>
              <w:rPr>
                <w:rFonts w:ascii="Courier New" w:hAnsi="Courier New"/>
                <w:sz w:val="17"/>
              </w:rPr>
              <w:t xml:space="preserve">    stale-document-detection/</w:t>
            </w:r>
          </w:p>
          <w:p>
            <w:pPr>
              <w:pStyle w:val="Body"/>
              <w:spacing w:after="0" w:before="0"/>
            </w:pPr>
            <w:r>
              <w:rPr>
                <w:rFonts w:ascii="Courier New" w:hAnsi="Courier New"/>
                <w:sz w:val="17"/>
              </w:rPr>
              <w:t xml:space="preserve">  overlays/</w:t>
            </w:r>
          </w:p>
          <w:p>
            <w:pPr>
              <w:pStyle w:val="Body"/>
              <w:spacing w:after="0" w:before="0"/>
            </w:pPr>
            <w:r>
              <w:rPr>
                <w:rFonts w:ascii="Courier New" w:hAnsi="Courier New"/>
                <w:sz w:val="17"/>
              </w:rPr>
              <w:t xml:space="preserve">    gc-default.overlay.yaml</w:t>
            </w:r>
          </w:p>
          <w:p>
            <w:pPr>
              <w:pStyle w:val="Body"/>
              <w:spacing w:after="0" w:before="0"/>
            </w:pPr>
            <w:r>
              <w:rPr>
                <w:rFonts w:ascii="Courier New" w:hAnsi="Courier New"/>
                <w:sz w:val="17"/>
              </w:rPr>
              <w:t xml:space="preserve">    specialty-default.overlay.yaml</w:t>
            </w:r>
          </w:p>
        </w:tc>
      </w:tr>
    </w:tbl>
    <w:p/>
    <w:p>
      <w:pPr>
        <w:pStyle w:val="RuhHeading1"/>
        <w:keepNext/>
        <w:spacing w:before="320" w:after="160"/>
      </w:pPr>
      <w:r>
        <w:t>4. Canonical objects and construction vocabulary</w:t>
      </w:r>
    </w:p>
    <w:p>
      <w:pPr>
        <w:pStyle w:val="Body"/>
        <w:spacing w:after="120" w:before="0" w:line="276" w:lineRule="auto"/>
      </w:pPr>
      <w:r>
        <w:t>The reference pack can only stay reusable if it normalizes construction nouns before they reach employee prompts or workflow logic. Provider-specific field names are adapter concerns; the pack works against a canonical object model.</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3389"/>
        <w:gridCol w:w="3389"/>
        <w:gridCol w:w="3389"/>
      </w:tblGrid>
      <w:tr>
        <w:tc>
          <w:tcPr>
            <w:tcW w:type="dxa" w:w="1944"/>
            <w:vAlign w:val="center"/>
            <w:shd w:fill="DDE8F2" w:val="clear" w:color="auto"/>
          </w:tcPr>
          <w:p>
            <w:pPr>
              <w:pStyle w:val="Body"/>
              <w:jc w:val="center"/>
            </w:pPr>
            <w:r>
              <w:rPr>
                <w:b/>
                <w:sz w:val="17"/>
              </w:rPr>
              <w:t>Canonical object</w:t>
            </w:r>
          </w:p>
        </w:tc>
        <w:tc>
          <w:tcPr>
            <w:tcW w:type="dxa" w:w="4824"/>
            <w:vAlign w:val="center"/>
            <w:shd w:fill="DDE8F2" w:val="clear" w:color="auto"/>
          </w:tcPr>
          <w:p>
            <w:pPr>
              <w:pStyle w:val="Body"/>
              <w:jc w:val="center"/>
            </w:pPr>
            <w:r>
              <w:rPr>
                <w:b/>
                <w:sz w:val="17"/>
              </w:rPr>
              <w:t>Description</w:t>
            </w:r>
          </w:p>
        </w:tc>
        <w:tc>
          <w:tcPr>
            <w:tcW w:type="dxa" w:w="2736"/>
            <w:vAlign w:val="center"/>
            <w:shd w:fill="DDE8F2" w:val="clear" w:color="auto"/>
          </w:tcPr>
          <w:p>
            <w:pPr>
              <w:pStyle w:val="Body"/>
              <w:jc w:val="center"/>
            </w:pPr>
            <w:r>
              <w:rPr>
                <w:b/>
                <w:sz w:val="17"/>
              </w:rPr>
              <w:t>Representative source systems</w:t>
            </w:r>
          </w:p>
        </w:tc>
      </w:tr>
      <w:tr>
        <w:tc>
          <w:tcPr>
            <w:tcW w:type="dxa" w:w="1944"/>
            <w:vAlign w:val="center"/>
          </w:tcPr>
          <w:p>
            <w:pPr>
              <w:pStyle w:val="Body"/>
              <w:spacing w:after="60" w:before="40"/>
              <w:jc w:val="left"/>
            </w:pPr>
            <w:r>
              <w:rPr>
                <w:sz w:val="17"/>
              </w:rPr>
              <w:t>Project</w:t>
            </w:r>
          </w:p>
        </w:tc>
        <w:tc>
          <w:tcPr>
            <w:tcW w:type="dxa" w:w="4824"/>
            <w:vAlign w:val="center"/>
          </w:tcPr>
          <w:p>
            <w:pPr>
              <w:pStyle w:val="Body"/>
              <w:spacing w:after="60" w:before="40"/>
              <w:jc w:val="left"/>
            </w:pPr>
            <w:r>
              <w:rPr>
                <w:sz w:val="17"/>
              </w:rPr>
              <w:t>The workspace root. Holds participants, phases, cost codes, calendars, and policy bindings.</w:t>
            </w:r>
          </w:p>
        </w:tc>
        <w:tc>
          <w:tcPr>
            <w:tcW w:type="dxa" w:w="2736"/>
            <w:vAlign w:val="center"/>
          </w:tcPr>
          <w:p>
            <w:pPr>
              <w:pStyle w:val="Body"/>
              <w:spacing w:after="60" w:before="40"/>
              <w:jc w:val="left"/>
            </w:pPr>
            <w:r>
              <w:rPr>
                <w:sz w:val="17"/>
              </w:rPr>
              <w:t>PMIS, ERP, CRM</w:t>
            </w:r>
          </w:p>
        </w:tc>
      </w:tr>
      <w:tr>
        <w:tc>
          <w:tcPr>
            <w:tcW w:type="dxa" w:w="1944"/>
            <w:vAlign w:val="center"/>
          </w:tcPr>
          <w:p>
            <w:pPr>
              <w:pStyle w:val="Body"/>
              <w:spacing w:after="60" w:before="40"/>
              <w:jc w:val="left"/>
            </w:pPr>
            <w:r>
              <w:rPr>
                <w:sz w:val="17"/>
              </w:rPr>
              <w:t>Document</w:t>
            </w:r>
          </w:p>
        </w:tc>
        <w:tc>
          <w:tcPr>
            <w:tcW w:type="dxa" w:w="4824"/>
            <w:vAlign w:val="center"/>
          </w:tcPr>
          <w:p>
            <w:pPr>
              <w:pStyle w:val="Body"/>
              <w:spacing w:after="60" w:before="40"/>
              <w:jc w:val="left"/>
            </w:pPr>
            <w:r>
              <w:rPr>
                <w:sz w:val="17"/>
              </w:rPr>
              <w:t>Any managed file or record with title, type, revision, discipline, and status.</w:t>
            </w:r>
          </w:p>
        </w:tc>
        <w:tc>
          <w:tcPr>
            <w:tcW w:type="dxa" w:w="2736"/>
            <w:vAlign w:val="center"/>
          </w:tcPr>
          <w:p>
            <w:pPr>
              <w:pStyle w:val="Body"/>
              <w:spacing w:after="60" w:before="40"/>
              <w:jc w:val="left"/>
            </w:pPr>
            <w:r>
              <w:rPr>
                <w:sz w:val="17"/>
              </w:rPr>
              <w:t>PMIS, SharePoint, Box</w:t>
            </w:r>
          </w:p>
        </w:tc>
      </w:tr>
      <w:tr>
        <w:tc>
          <w:tcPr>
            <w:tcW w:type="dxa" w:w="1944"/>
            <w:vAlign w:val="center"/>
          </w:tcPr>
          <w:p>
            <w:pPr>
              <w:pStyle w:val="Body"/>
              <w:spacing w:after="60" w:before="40"/>
              <w:jc w:val="left"/>
            </w:pPr>
            <w:r>
              <w:rPr>
                <w:sz w:val="17"/>
              </w:rPr>
              <w:t>Drawing / sheet</w:t>
            </w:r>
          </w:p>
        </w:tc>
        <w:tc>
          <w:tcPr>
            <w:tcW w:type="dxa" w:w="4824"/>
            <w:vAlign w:val="center"/>
          </w:tcPr>
          <w:p>
            <w:pPr>
              <w:pStyle w:val="Body"/>
              <w:spacing w:after="60" w:before="40"/>
              <w:jc w:val="left"/>
            </w:pPr>
            <w:r>
              <w:rPr>
                <w:sz w:val="17"/>
              </w:rPr>
              <w:t>Revision-controlled design drawing or sheet reference.</w:t>
            </w:r>
          </w:p>
        </w:tc>
        <w:tc>
          <w:tcPr>
            <w:tcW w:type="dxa" w:w="2736"/>
            <w:vAlign w:val="center"/>
          </w:tcPr>
          <w:p>
            <w:pPr>
              <w:pStyle w:val="Body"/>
              <w:spacing w:after="60" w:before="40"/>
              <w:jc w:val="left"/>
            </w:pPr>
            <w:r>
              <w:rPr>
                <w:sz w:val="17"/>
              </w:rPr>
              <w:t>PMIS, file store</w:t>
            </w:r>
          </w:p>
        </w:tc>
      </w:tr>
      <w:tr>
        <w:tc>
          <w:tcPr>
            <w:tcW w:type="dxa" w:w="1944"/>
            <w:vAlign w:val="center"/>
          </w:tcPr>
          <w:p>
            <w:pPr>
              <w:pStyle w:val="Body"/>
              <w:spacing w:after="60" w:before="40"/>
              <w:jc w:val="left"/>
            </w:pPr>
            <w:r>
              <w:rPr>
                <w:sz w:val="17"/>
              </w:rPr>
              <w:t>Spec section</w:t>
            </w:r>
          </w:p>
        </w:tc>
        <w:tc>
          <w:tcPr>
            <w:tcW w:type="dxa" w:w="4824"/>
            <w:vAlign w:val="center"/>
          </w:tcPr>
          <w:p>
            <w:pPr>
              <w:pStyle w:val="Body"/>
              <w:spacing w:after="60" w:before="40"/>
              <w:jc w:val="left"/>
            </w:pPr>
            <w:r>
              <w:rPr>
                <w:sz w:val="17"/>
              </w:rPr>
              <w:t>Specification section or clause used for submittal/RFI context.</w:t>
            </w:r>
          </w:p>
        </w:tc>
        <w:tc>
          <w:tcPr>
            <w:tcW w:type="dxa" w:w="2736"/>
            <w:vAlign w:val="center"/>
          </w:tcPr>
          <w:p>
            <w:pPr>
              <w:pStyle w:val="Body"/>
              <w:spacing w:after="60" w:before="40"/>
              <w:jc w:val="left"/>
            </w:pPr>
            <w:r>
              <w:rPr>
                <w:sz w:val="17"/>
              </w:rPr>
              <w:t>Specs PDFs, PMIS</w:t>
            </w:r>
          </w:p>
        </w:tc>
      </w:tr>
      <w:tr>
        <w:tc>
          <w:tcPr>
            <w:tcW w:type="dxa" w:w="1944"/>
            <w:vAlign w:val="center"/>
          </w:tcPr>
          <w:p>
            <w:pPr>
              <w:pStyle w:val="Body"/>
              <w:spacing w:after="60" w:before="40"/>
              <w:jc w:val="left"/>
            </w:pPr>
            <w:r>
              <w:rPr>
                <w:sz w:val="17"/>
              </w:rPr>
              <w:t>RFI</w:t>
            </w:r>
          </w:p>
        </w:tc>
        <w:tc>
          <w:tcPr>
            <w:tcW w:type="dxa" w:w="4824"/>
            <w:vAlign w:val="center"/>
          </w:tcPr>
          <w:p>
            <w:pPr>
              <w:pStyle w:val="Body"/>
              <w:spacing w:after="60" w:before="40"/>
              <w:jc w:val="left"/>
            </w:pPr>
            <w:r>
              <w:rPr>
                <w:sz w:val="17"/>
              </w:rPr>
              <w:t>Question record with cited sources, due date, status, answer, and impacted parties.</w:t>
            </w:r>
          </w:p>
        </w:tc>
        <w:tc>
          <w:tcPr>
            <w:tcW w:type="dxa" w:w="2736"/>
            <w:vAlign w:val="center"/>
          </w:tcPr>
          <w:p>
            <w:pPr>
              <w:pStyle w:val="Body"/>
              <w:spacing w:after="60" w:before="40"/>
              <w:jc w:val="left"/>
            </w:pPr>
            <w:r>
              <w:rPr>
                <w:sz w:val="17"/>
              </w:rPr>
              <w:t>PMIS, email</w:t>
            </w:r>
          </w:p>
        </w:tc>
      </w:tr>
      <w:tr>
        <w:tc>
          <w:tcPr>
            <w:tcW w:type="dxa" w:w="1944"/>
            <w:vAlign w:val="center"/>
          </w:tcPr>
          <w:p>
            <w:pPr>
              <w:pStyle w:val="Body"/>
              <w:spacing w:after="60" w:before="40"/>
              <w:jc w:val="left"/>
            </w:pPr>
            <w:r>
              <w:rPr>
                <w:sz w:val="17"/>
              </w:rPr>
              <w:t>Submittal</w:t>
            </w:r>
          </w:p>
        </w:tc>
        <w:tc>
          <w:tcPr>
            <w:tcW w:type="dxa" w:w="4824"/>
            <w:vAlign w:val="center"/>
          </w:tcPr>
          <w:p>
            <w:pPr>
              <w:pStyle w:val="Body"/>
              <w:spacing w:after="60" w:before="40"/>
              <w:jc w:val="left"/>
            </w:pPr>
            <w:r>
              <w:rPr>
                <w:sz w:val="17"/>
              </w:rPr>
              <w:t>Package or item requiring completeness check, routing, comments, and return.</w:t>
            </w:r>
          </w:p>
        </w:tc>
        <w:tc>
          <w:tcPr>
            <w:tcW w:type="dxa" w:w="2736"/>
            <w:vAlign w:val="center"/>
          </w:tcPr>
          <w:p>
            <w:pPr>
              <w:pStyle w:val="Body"/>
              <w:spacing w:after="60" w:before="40"/>
              <w:jc w:val="left"/>
            </w:pPr>
            <w:r>
              <w:rPr>
                <w:sz w:val="17"/>
              </w:rPr>
              <w:t>PMIS</w:t>
            </w:r>
          </w:p>
        </w:tc>
      </w:tr>
      <w:tr>
        <w:tc>
          <w:tcPr>
            <w:tcW w:type="dxa" w:w="1944"/>
            <w:vAlign w:val="center"/>
          </w:tcPr>
          <w:p>
            <w:pPr>
              <w:pStyle w:val="Body"/>
              <w:spacing w:after="60" w:before="40"/>
              <w:jc w:val="left"/>
            </w:pPr>
            <w:r>
              <w:rPr>
                <w:sz w:val="17"/>
              </w:rPr>
              <w:t>Meeting</w:t>
            </w:r>
          </w:p>
        </w:tc>
        <w:tc>
          <w:tcPr>
            <w:tcW w:type="dxa" w:w="4824"/>
            <w:vAlign w:val="center"/>
          </w:tcPr>
          <w:p>
            <w:pPr>
              <w:pStyle w:val="Body"/>
              <w:spacing w:after="60" w:before="40"/>
              <w:jc w:val="left"/>
            </w:pPr>
            <w:r>
              <w:rPr>
                <w:sz w:val="17"/>
              </w:rPr>
              <w:t>Scheduled coordination event with agenda, notes, and linked actions.</w:t>
            </w:r>
          </w:p>
        </w:tc>
        <w:tc>
          <w:tcPr>
            <w:tcW w:type="dxa" w:w="2736"/>
            <w:vAlign w:val="center"/>
          </w:tcPr>
          <w:p>
            <w:pPr>
              <w:pStyle w:val="Body"/>
              <w:spacing w:after="60" w:before="40"/>
              <w:jc w:val="left"/>
            </w:pPr>
            <w:r>
              <w:rPr>
                <w:sz w:val="17"/>
              </w:rPr>
              <w:t>Calendar, docs</w:t>
            </w:r>
          </w:p>
        </w:tc>
      </w:tr>
      <w:tr>
        <w:tc>
          <w:tcPr>
            <w:tcW w:type="dxa" w:w="1944"/>
            <w:vAlign w:val="center"/>
          </w:tcPr>
          <w:p>
            <w:pPr>
              <w:pStyle w:val="Body"/>
              <w:spacing w:after="60" w:before="40"/>
              <w:jc w:val="left"/>
            </w:pPr>
            <w:r>
              <w:rPr>
                <w:sz w:val="17"/>
              </w:rPr>
              <w:t>Action item</w:t>
            </w:r>
          </w:p>
        </w:tc>
        <w:tc>
          <w:tcPr>
            <w:tcW w:type="dxa" w:w="4824"/>
            <w:vAlign w:val="center"/>
          </w:tcPr>
          <w:p>
            <w:pPr>
              <w:pStyle w:val="Body"/>
              <w:spacing w:after="60" w:before="40"/>
              <w:jc w:val="left"/>
            </w:pPr>
            <w:r>
              <w:rPr>
                <w:sz w:val="17"/>
              </w:rPr>
              <w:t>Tracked commitment with owner, due date, source meeting/signal, and status.</w:t>
            </w:r>
          </w:p>
        </w:tc>
        <w:tc>
          <w:tcPr>
            <w:tcW w:type="dxa" w:w="2736"/>
            <w:vAlign w:val="center"/>
          </w:tcPr>
          <w:p>
            <w:pPr>
              <w:pStyle w:val="Body"/>
              <w:spacing w:after="60" w:before="40"/>
              <w:jc w:val="left"/>
            </w:pPr>
            <w:r>
              <w:rPr>
                <w:sz w:val="17"/>
              </w:rPr>
              <w:t>Docs, task system</w:t>
            </w:r>
          </w:p>
        </w:tc>
      </w:tr>
      <w:tr>
        <w:tc>
          <w:tcPr>
            <w:tcW w:type="dxa" w:w="1944"/>
            <w:vAlign w:val="center"/>
          </w:tcPr>
          <w:p>
            <w:pPr>
              <w:pStyle w:val="Body"/>
              <w:spacing w:after="60" w:before="40"/>
              <w:jc w:val="left"/>
            </w:pPr>
            <w:r>
              <w:rPr>
                <w:sz w:val="17"/>
              </w:rPr>
              <w:t>Daily log</w:t>
            </w:r>
          </w:p>
        </w:tc>
        <w:tc>
          <w:tcPr>
            <w:tcW w:type="dxa" w:w="4824"/>
            <w:vAlign w:val="center"/>
          </w:tcPr>
          <w:p>
            <w:pPr>
              <w:pStyle w:val="Body"/>
              <w:spacing w:after="60" w:before="40"/>
              <w:jc w:val="left"/>
            </w:pPr>
            <w:r>
              <w:rPr>
                <w:sz w:val="17"/>
              </w:rPr>
              <w:t>Daily activity narrative, key events, issues, weather, or manpower record.</w:t>
            </w:r>
          </w:p>
        </w:tc>
        <w:tc>
          <w:tcPr>
            <w:tcW w:type="dxa" w:w="2736"/>
            <w:vAlign w:val="center"/>
          </w:tcPr>
          <w:p>
            <w:pPr>
              <w:pStyle w:val="Body"/>
              <w:spacing w:after="60" w:before="40"/>
              <w:jc w:val="left"/>
            </w:pPr>
            <w:r>
              <w:rPr>
                <w:sz w:val="17"/>
              </w:rPr>
              <w:t>PMIS</w:t>
            </w:r>
          </w:p>
        </w:tc>
      </w:tr>
      <w:tr>
        <w:tc>
          <w:tcPr>
            <w:tcW w:type="dxa" w:w="1944"/>
            <w:vAlign w:val="center"/>
          </w:tcPr>
          <w:p>
            <w:pPr>
              <w:pStyle w:val="Body"/>
              <w:spacing w:after="60" w:before="40"/>
              <w:jc w:val="left"/>
            </w:pPr>
            <w:r>
              <w:rPr>
                <w:sz w:val="17"/>
              </w:rPr>
              <w:t>Issue / risk</w:t>
            </w:r>
          </w:p>
        </w:tc>
        <w:tc>
          <w:tcPr>
            <w:tcW w:type="dxa" w:w="4824"/>
            <w:vAlign w:val="center"/>
          </w:tcPr>
          <w:p>
            <w:pPr>
              <w:pStyle w:val="Body"/>
              <w:spacing w:after="60" w:before="40"/>
              <w:jc w:val="left"/>
            </w:pPr>
            <w:r>
              <w:rPr>
                <w:sz w:val="17"/>
              </w:rPr>
              <w:t>Open concern requiring monitoring or escalation.</w:t>
            </w:r>
          </w:p>
        </w:tc>
        <w:tc>
          <w:tcPr>
            <w:tcW w:type="dxa" w:w="2736"/>
            <w:vAlign w:val="center"/>
          </w:tcPr>
          <w:p>
            <w:pPr>
              <w:pStyle w:val="Body"/>
              <w:spacing w:after="60" w:before="40"/>
              <w:jc w:val="left"/>
            </w:pPr>
            <w:r>
              <w:rPr>
                <w:sz w:val="17"/>
              </w:rPr>
              <w:t>PMIS, risk log, notes</w:t>
            </w:r>
          </w:p>
        </w:tc>
      </w:tr>
      <w:tr>
        <w:tc>
          <w:tcPr>
            <w:tcW w:type="dxa" w:w="1944"/>
            <w:vAlign w:val="center"/>
          </w:tcPr>
          <w:p>
            <w:pPr>
              <w:pStyle w:val="Body"/>
              <w:spacing w:after="60" w:before="40"/>
              <w:jc w:val="left"/>
            </w:pPr>
            <w:r>
              <w:rPr>
                <w:sz w:val="17"/>
              </w:rPr>
              <w:t>Change event</w:t>
            </w:r>
          </w:p>
        </w:tc>
        <w:tc>
          <w:tcPr>
            <w:tcW w:type="dxa" w:w="4824"/>
            <w:vAlign w:val="center"/>
          </w:tcPr>
          <w:p>
            <w:pPr>
              <w:pStyle w:val="Body"/>
              <w:spacing w:after="60" w:before="40"/>
              <w:jc w:val="left"/>
            </w:pPr>
            <w:r>
              <w:rPr>
                <w:sz w:val="17"/>
              </w:rPr>
              <w:t>Potential project change identified through correspondence or issue tracking.</w:t>
            </w:r>
          </w:p>
        </w:tc>
        <w:tc>
          <w:tcPr>
            <w:tcW w:type="dxa" w:w="2736"/>
            <w:vAlign w:val="center"/>
          </w:tcPr>
          <w:p>
            <w:pPr>
              <w:pStyle w:val="Body"/>
              <w:spacing w:after="60" w:before="40"/>
              <w:jc w:val="left"/>
            </w:pPr>
            <w:r>
              <w:rPr>
                <w:sz w:val="17"/>
              </w:rPr>
              <w:t>PMIS, logs</w:t>
            </w:r>
          </w:p>
        </w:tc>
      </w:tr>
    </w:tbl>
    <w:p/>
    <w:p>
      <w:pPr>
        <w:pStyle w:val="RuhHeading2"/>
        <w:keepNext/>
        <w:spacing w:before="200" w:after="120"/>
      </w:pPr>
      <w:r>
        <w:t>4.1 Document resolution rules</w:t>
      </w:r>
    </w:p>
    <w:p>
      <w:pPr>
        <w:pStyle w:val="Bullet1"/>
        <w:spacing w:after="60"/>
        <w:ind w:left="288"/>
      </w:pPr>
      <w:r>
        <w:t>Every external draft must cite the latest approved or referenced document revision used to generate it.</w:t>
      </w:r>
    </w:p>
    <w:p>
      <w:pPr>
        <w:pStyle w:val="Bullet1"/>
        <w:spacing w:after="60"/>
        <w:ind w:left="288"/>
      </w:pPr>
      <w:r>
        <w:t>If two active sources conflict, the pack must surface the conflict rather than choosing silently.</w:t>
      </w:r>
    </w:p>
    <w:p>
      <w:pPr>
        <w:pStyle w:val="Bullet1"/>
        <w:spacing w:after="60"/>
        <w:ind w:left="288"/>
      </w:pPr>
      <w:r>
        <w:t>If a required attachment or spec reference is missing, the employee returns an incompleteness result instead of improvising.</w:t>
      </w:r>
    </w:p>
    <w:p>
      <w:pPr>
        <w:pStyle w:val="Bullet1"/>
        <w:spacing w:after="60"/>
        <w:ind w:left="288"/>
      </w:pPr>
      <w:r>
        <w:t>The document controller owns canonical source resolution and provides citation bundles to specialist employees.</w:t>
      </w:r>
    </w:p>
    <w:p>
      <w:pPr>
        <w:jc w:val="center"/>
      </w:pPr>
      <w:r>
        <w:drawing>
          <wp:inline xmlns:a="http://schemas.openxmlformats.org/drawingml/2006/main" xmlns:pic="http://schemas.openxmlformats.org/drawingml/2006/picture">
            <wp:extent cx="6035040" cy="2179320"/>
            <wp:docPr id="2" name="Picture 2"/>
            <wp:cNvGraphicFramePr>
              <a:graphicFrameLocks noChangeAspect="1"/>
            </wp:cNvGraphicFramePr>
            <a:graphic>
              <a:graphicData uri="http://schemas.openxmlformats.org/drawingml/2006/picture">
                <pic:pic>
                  <pic:nvPicPr>
                    <pic:cNvPr id="0" name="construction_flow.png"/>
                    <pic:cNvPicPr/>
                  </pic:nvPicPr>
                  <pic:blipFill>
                    <a:blip r:embed="rId25"/>
                    <a:stretch>
                      <a:fillRect/>
                    </a:stretch>
                  </pic:blipFill>
                  <pic:spPr>
                    <a:xfrm>
                      <a:off x="0" y="0"/>
                      <a:ext cx="6035040" cy="2179320"/>
                    </a:xfrm>
                    <a:prstGeom prst="rect"/>
                  </pic:spPr>
                </pic:pic>
              </a:graphicData>
            </a:graphic>
          </wp:inline>
        </w:drawing>
      </w:r>
    </w:p>
    <w:p>
      <w:pPr>
        <w:pStyle w:val="Caption"/>
        <w:jc w:val="center"/>
      </w:pPr>
      <w:r>
        <w:t>Figure 2. Default collaboration pattern for construction workflows: intake and document resolution feed the specialist employee, while the orchestrator and action tracker govern follow-through.</w:t>
      </w:r>
    </w:p>
    <w:p>
      <w:pPr>
        <w:pStyle w:val="RuhHeading1"/>
        <w:keepNext/>
        <w:spacing w:before="320" w:after="160"/>
      </w:pPr>
      <w:r>
        <w:t>5. Employee roster and collaboration contract</w:t>
      </w:r>
    </w:p>
    <w:p>
      <w:pPr>
        <w:pStyle w:val="Body"/>
        <w:spacing w:after="120" w:before="0" w:line="276" w:lineRule="auto"/>
      </w:pPr>
      <w:r>
        <w:t>The pack exports six default employee templates. Each employee has one primary lane of responsibility. Cross-employee collaboration happens through typed tasks and structured artifacts created by the Ruh.ai orchestrator; employees may request subtasks, but they do not create shadow state outside the workflow engine.</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2541"/>
        <w:gridCol w:w="2541"/>
        <w:gridCol w:w="2541"/>
        <w:gridCol w:w="2541"/>
      </w:tblGrid>
      <w:tr>
        <w:tc>
          <w:tcPr>
            <w:tcW w:type="dxa" w:w="2376"/>
            <w:vAlign w:val="center"/>
            <w:shd w:fill="DDE8F2" w:val="clear" w:color="auto"/>
          </w:tcPr>
          <w:p>
            <w:pPr>
              <w:pStyle w:val="Body"/>
              <w:jc w:val="center"/>
            </w:pPr>
            <w:r>
              <w:rPr>
                <w:b/>
                <w:sz w:val="17"/>
              </w:rPr>
              <w:t>Employee</w:t>
            </w:r>
          </w:p>
        </w:tc>
        <w:tc>
          <w:tcPr>
            <w:tcW w:type="dxa" w:w="3528"/>
            <w:vAlign w:val="center"/>
            <w:shd w:fill="DDE8F2" w:val="clear" w:color="auto"/>
          </w:tcPr>
          <w:p>
            <w:pPr>
              <w:pStyle w:val="Body"/>
              <w:jc w:val="center"/>
            </w:pPr>
            <w:r>
              <w:rPr>
                <w:b/>
                <w:sz w:val="17"/>
              </w:rPr>
              <w:t>Primary lane</w:t>
            </w:r>
          </w:p>
        </w:tc>
        <w:tc>
          <w:tcPr>
            <w:tcW w:type="dxa" w:w="1152"/>
            <w:vAlign w:val="center"/>
            <w:shd w:fill="DDE8F2" w:val="clear" w:color="auto"/>
          </w:tcPr>
          <w:p>
            <w:pPr>
              <w:pStyle w:val="Body"/>
              <w:jc w:val="center"/>
            </w:pPr>
            <w:r>
              <w:rPr>
                <w:b/>
                <w:sz w:val="17"/>
              </w:rPr>
              <w:t>Default risk tier</w:t>
            </w:r>
          </w:p>
        </w:tc>
        <w:tc>
          <w:tcPr>
            <w:tcW w:type="dxa" w:w="2592"/>
            <w:vAlign w:val="center"/>
            <w:shd w:fill="DDE8F2" w:val="clear" w:color="auto"/>
          </w:tcPr>
          <w:p>
            <w:pPr>
              <w:pStyle w:val="Body"/>
              <w:jc w:val="center"/>
            </w:pPr>
            <w:r>
              <w:rPr>
                <w:b/>
                <w:sz w:val="17"/>
              </w:rPr>
              <w:t>What success looks like</w:t>
            </w:r>
          </w:p>
        </w:tc>
      </w:tr>
      <w:tr>
        <w:tc>
          <w:tcPr>
            <w:tcW w:type="dxa" w:w="2376"/>
            <w:vAlign w:val="center"/>
          </w:tcPr>
          <w:p>
            <w:pPr>
              <w:pStyle w:val="Body"/>
              <w:spacing w:after="60" w:before="40"/>
              <w:jc w:val="left"/>
            </w:pPr>
            <w:r>
              <w:rPr>
                <w:sz w:val="17"/>
              </w:rPr>
              <w:t>Project intake coordinator</w:t>
            </w:r>
          </w:p>
        </w:tc>
        <w:tc>
          <w:tcPr>
            <w:tcW w:type="dxa" w:w="3528"/>
            <w:vAlign w:val="center"/>
          </w:tcPr>
          <w:p>
            <w:pPr>
              <w:pStyle w:val="Body"/>
              <w:spacing w:after="60" w:before="40"/>
              <w:jc w:val="left"/>
            </w:pPr>
            <w:r>
              <w:rPr>
                <w:sz w:val="17"/>
              </w:rPr>
              <w:t>Capture inbound signal, classify it, link it to a project, and route the right workflow.</w:t>
            </w:r>
          </w:p>
        </w:tc>
        <w:tc>
          <w:tcPr>
            <w:tcW w:type="dxa" w:w="1152"/>
            <w:vAlign w:val="center"/>
          </w:tcPr>
          <w:p>
            <w:pPr>
              <w:pStyle w:val="Body"/>
              <w:spacing w:after="60" w:before="40"/>
              <w:jc w:val="left"/>
            </w:pPr>
            <w:r>
              <w:rPr>
                <w:sz w:val="17"/>
              </w:rPr>
              <w:t>Low</w:t>
            </w:r>
          </w:p>
        </w:tc>
        <w:tc>
          <w:tcPr>
            <w:tcW w:type="dxa" w:w="2592"/>
            <w:vAlign w:val="center"/>
          </w:tcPr>
          <w:p>
            <w:pPr>
              <w:pStyle w:val="Body"/>
              <w:spacing w:after="60" w:before="40"/>
              <w:jc w:val="left"/>
            </w:pPr>
            <w:r>
              <w:rPr>
                <w:sz w:val="17"/>
              </w:rPr>
              <w:t>Nothing important sits unassigned in email/chat/PMIS alerts.</w:t>
            </w:r>
          </w:p>
        </w:tc>
      </w:tr>
      <w:tr>
        <w:tc>
          <w:tcPr>
            <w:tcW w:type="dxa" w:w="2376"/>
            <w:vAlign w:val="center"/>
          </w:tcPr>
          <w:p>
            <w:pPr>
              <w:pStyle w:val="Body"/>
              <w:spacing w:after="60" w:before="40"/>
              <w:jc w:val="left"/>
            </w:pPr>
            <w:r>
              <w:rPr>
                <w:sz w:val="17"/>
              </w:rPr>
              <w:t>Document controller</w:t>
            </w:r>
          </w:p>
        </w:tc>
        <w:tc>
          <w:tcPr>
            <w:tcW w:type="dxa" w:w="3528"/>
            <w:vAlign w:val="center"/>
          </w:tcPr>
          <w:p>
            <w:pPr>
              <w:pStyle w:val="Body"/>
              <w:spacing w:after="60" w:before="40"/>
              <w:jc w:val="left"/>
            </w:pPr>
            <w:r>
              <w:rPr>
                <w:sz w:val="17"/>
              </w:rPr>
              <w:t>Resolve document context, revisions, and metadata for downstream work.</w:t>
            </w:r>
          </w:p>
        </w:tc>
        <w:tc>
          <w:tcPr>
            <w:tcW w:type="dxa" w:w="1152"/>
            <w:vAlign w:val="center"/>
          </w:tcPr>
          <w:p>
            <w:pPr>
              <w:pStyle w:val="Body"/>
              <w:spacing w:after="60" w:before="40"/>
              <w:jc w:val="left"/>
            </w:pPr>
            <w:r>
              <w:rPr>
                <w:sz w:val="17"/>
              </w:rPr>
              <w:t>Low-Medium</w:t>
            </w:r>
          </w:p>
        </w:tc>
        <w:tc>
          <w:tcPr>
            <w:tcW w:type="dxa" w:w="2592"/>
            <w:vAlign w:val="center"/>
          </w:tcPr>
          <w:p>
            <w:pPr>
              <w:pStyle w:val="Body"/>
              <w:spacing w:after="60" w:before="40"/>
              <w:jc w:val="left"/>
            </w:pPr>
            <w:r>
              <w:rPr>
                <w:sz w:val="17"/>
              </w:rPr>
              <w:t>Specialist employees always receive the right source bundle.</w:t>
            </w:r>
          </w:p>
        </w:tc>
      </w:tr>
      <w:tr>
        <w:tc>
          <w:tcPr>
            <w:tcW w:type="dxa" w:w="2376"/>
            <w:vAlign w:val="center"/>
          </w:tcPr>
          <w:p>
            <w:pPr>
              <w:pStyle w:val="Body"/>
              <w:spacing w:after="60" w:before="40"/>
              <w:jc w:val="left"/>
            </w:pPr>
            <w:r>
              <w:rPr>
                <w:sz w:val="17"/>
              </w:rPr>
              <w:t>RFI coordinator</w:t>
            </w:r>
          </w:p>
        </w:tc>
        <w:tc>
          <w:tcPr>
            <w:tcW w:type="dxa" w:w="3528"/>
            <w:vAlign w:val="center"/>
          </w:tcPr>
          <w:p>
            <w:pPr>
              <w:pStyle w:val="Body"/>
              <w:spacing w:after="60" w:before="40"/>
              <w:jc w:val="left"/>
            </w:pPr>
            <w:r>
              <w:rPr>
                <w:sz w:val="17"/>
              </w:rPr>
              <w:t>Prepare RFI drafts, duplicate checks, and response summaries.</w:t>
            </w:r>
          </w:p>
        </w:tc>
        <w:tc>
          <w:tcPr>
            <w:tcW w:type="dxa" w:w="1152"/>
            <w:vAlign w:val="center"/>
          </w:tcPr>
          <w:p>
            <w:pPr>
              <w:pStyle w:val="Body"/>
              <w:spacing w:after="60" w:before="40"/>
              <w:jc w:val="left"/>
            </w:pPr>
            <w:r>
              <w:rPr>
                <w:sz w:val="17"/>
              </w:rPr>
              <w:t>Medium</w:t>
            </w:r>
          </w:p>
        </w:tc>
        <w:tc>
          <w:tcPr>
            <w:tcW w:type="dxa" w:w="2592"/>
            <w:vAlign w:val="center"/>
          </w:tcPr>
          <w:p>
            <w:pPr>
              <w:pStyle w:val="Body"/>
              <w:spacing w:after="60" w:before="40"/>
              <w:jc w:val="left"/>
            </w:pPr>
            <w:r>
              <w:rPr>
                <w:sz w:val="17"/>
              </w:rPr>
              <w:t>High-quality RFI packages with citations and fewer duplicates.</w:t>
            </w:r>
          </w:p>
        </w:tc>
      </w:tr>
      <w:tr>
        <w:tc>
          <w:tcPr>
            <w:tcW w:type="dxa" w:w="2376"/>
            <w:vAlign w:val="center"/>
          </w:tcPr>
          <w:p>
            <w:pPr>
              <w:pStyle w:val="Body"/>
              <w:spacing w:after="60" w:before="40"/>
              <w:jc w:val="left"/>
            </w:pPr>
            <w:r>
              <w:rPr>
                <w:sz w:val="17"/>
              </w:rPr>
              <w:t>Submittal coordinator</w:t>
            </w:r>
          </w:p>
        </w:tc>
        <w:tc>
          <w:tcPr>
            <w:tcW w:type="dxa" w:w="3528"/>
            <w:vAlign w:val="center"/>
          </w:tcPr>
          <w:p>
            <w:pPr>
              <w:pStyle w:val="Body"/>
              <w:spacing w:after="60" w:before="40"/>
              <w:jc w:val="left"/>
            </w:pPr>
            <w:r>
              <w:rPr>
                <w:sz w:val="17"/>
              </w:rPr>
              <w:t>Check completeness, route reviewers, and consolidate return comments.</w:t>
            </w:r>
          </w:p>
        </w:tc>
        <w:tc>
          <w:tcPr>
            <w:tcW w:type="dxa" w:w="1152"/>
            <w:vAlign w:val="center"/>
          </w:tcPr>
          <w:p>
            <w:pPr>
              <w:pStyle w:val="Body"/>
              <w:spacing w:after="60" w:before="40"/>
              <w:jc w:val="left"/>
            </w:pPr>
            <w:r>
              <w:rPr>
                <w:sz w:val="17"/>
              </w:rPr>
              <w:t>Medium</w:t>
            </w:r>
          </w:p>
        </w:tc>
        <w:tc>
          <w:tcPr>
            <w:tcW w:type="dxa" w:w="2592"/>
            <w:vAlign w:val="center"/>
          </w:tcPr>
          <w:p>
            <w:pPr>
              <w:pStyle w:val="Body"/>
              <w:spacing w:after="60" w:before="40"/>
              <w:jc w:val="left"/>
            </w:pPr>
            <w:r>
              <w:rPr>
                <w:sz w:val="17"/>
              </w:rPr>
              <w:t>Shorter review cycles and fewer incomplete packages.</w:t>
            </w:r>
          </w:p>
        </w:tc>
      </w:tr>
      <w:tr>
        <w:tc>
          <w:tcPr>
            <w:tcW w:type="dxa" w:w="2376"/>
            <w:vAlign w:val="center"/>
          </w:tcPr>
          <w:p>
            <w:pPr>
              <w:pStyle w:val="Body"/>
              <w:spacing w:after="60" w:before="40"/>
              <w:jc w:val="left"/>
            </w:pPr>
            <w:r>
              <w:rPr>
                <w:sz w:val="17"/>
              </w:rPr>
              <w:t>Meeting &amp; reporting analyst</w:t>
            </w:r>
          </w:p>
        </w:tc>
        <w:tc>
          <w:tcPr>
            <w:tcW w:type="dxa" w:w="3528"/>
            <w:vAlign w:val="center"/>
          </w:tcPr>
          <w:p>
            <w:pPr>
              <w:pStyle w:val="Body"/>
              <w:spacing w:after="60" w:before="40"/>
              <w:jc w:val="left"/>
            </w:pPr>
            <w:r>
              <w:rPr>
                <w:sz w:val="17"/>
              </w:rPr>
              <w:t>Prepare agendas, packs, summaries, and recurring reports.</w:t>
            </w:r>
          </w:p>
        </w:tc>
        <w:tc>
          <w:tcPr>
            <w:tcW w:type="dxa" w:w="1152"/>
            <w:vAlign w:val="center"/>
          </w:tcPr>
          <w:p>
            <w:pPr>
              <w:pStyle w:val="Body"/>
              <w:spacing w:after="60" w:before="40"/>
              <w:jc w:val="left"/>
            </w:pPr>
            <w:r>
              <w:rPr>
                <w:sz w:val="17"/>
              </w:rPr>
              <w:t>Low-Medium</w:t>
            </w:r>
          </w:p>
        </w:tc>
        <w:tc>
          <w:tcPr>
            <w:tcW w:type="dxa" w:w="2592"/>
            <w:vAlign w:val="center"/>
          </w:tcPr>
          <w:p>
            <w:pPr>
              <w:pStyle w:val="Body"/>
              <w:spacing w:after="60" w:before="40"/>
              <w:jc w:val="left"/>
            </w:pPr>
            <w:r>
              <w:rPr>
                <w:sz w:val="17"/>
              </w:rPr>
              <w:t>Fast turnaround on packs and summaries.</w:t>
            </w:r>
          </w:p>
        </w:tc>
      </w:tr>
      <w:tr>
        <w:tc>
          <w:tcPr>
            <w:tcW w:type="dxa" w:w="2376"/>
            <w:vAlign w:val="center"/>
          </w:tcPr>
          <w:p>
            <w:pPr>
              <w:pStyle w:val="Body"/>
              <w:spacing w:after="60" w:before="40"/>
              <w:jc w:val="left"/>
            </w:pPr>
            <w:r>
              <w:rPr>
                <w:sz w:val="17"/>
              </w:rPr>
              <w:t>Action &amp; risk tracker</w:t>
            </w:r>
          </w:p>
        </w:tc>
        <w:tc>
          <w:tcPr>
            <w:tcW w:type="dxa" w:w="3528"/>
            <w:vAlign w:val="center"/>
          </w:tcPr>
          <w:p>
            <w:pPr>
              <w:pStyle w:val="Body"/>
              <w:spacing w:after="60" w:before="40"/>
              <w:jc w:val="left"/>
            </w:pPr>
            <w:r>
              <w:rPr>
                <w:sz w:val="17"/>
              </w:rPr>
              <w:t>Maintain commitments, due dates, reminders, and risk watchlists.</w:t>
            </w:r>
          </w:p>
        </w:tc>
        <w:tc>
          <w:tcPr>
            <w:tcW w:type="dxa" w:w="1152"/>
            <w:vAlign w:val="center"/>
          </w:tcPr>
          <w:p>
            <w:pPr>
              <w:pStyle w:val="Body"/>
              <w:spacing w:after="60" w:before="40"/>
              <w:jc w:val="left"/>
            </w:pPr>
            <w:r>
              <w:rPr>
                <w:sz w:val="17"/>
              </w:rPr>
              <w:t>Medium</w:t>
            </w:r>
          </w:p>
        </w:tc>
        <w:tc>
          <w:tcPr>
            <w:tcW w:type="dxa" w:w="2592"/>
            <w:vAlign w:val="center"/>
          </w:tcPr>
          <w:p>
            <w:pPr>
              <w:pStyle w:val="Body"/>
              <w:spacing w:after="60" w:before="40"/>
              <w:jc w:val="left"/>
            </w:pPr>
            <w:r>
              <w:rPr>
                <w:sz w:val="17"/>
              </w:rPr>
              <w:t>Fewer overdue actions and cleaner status visibility.</w:t>
            </w:r>
          </w:p>
        </w:tc>
      </w:tr>
    </w:tbl>
    <w:p/>
    <w:p>
      <w:pPr>
        <w:pStyle w:val="RuhHeading2"/>
        <w:keepNext/>
        <w:spacing w:before="200" w:after="120"/>
      </w:pPr>
      <w:r>
        <w:t>5.1 Project intake coordinator</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9"/>
              </w:rPr>
              <w:t>Field</w:t>
            </w:r>
          </w:p>
        </w:tc>
        <w:tc>
          <w:tcPr>
            <w:tcW w:type="dxa" w:w="6623"/>
            <w:vAlign w:val="center"/>
            <w:shd w:fill="DDE8F2" w:val="clear" w:color="auto"/>
          </w:tcPr>
          <w:p>
            <w:pPr>
              <w:pStyle w:val="Body"/>
              <w:jc w:val="center"/>
            </w:pPr>
            <w:r>
              <w:rPr>
                <w:b/>
                <w:sz w:val="19"/>
              </w:rPr>
              <w:t>Definition</w:t>
            </w:r>
          </w:p>
        </w:tc>
      </w:tr>
      <w:tr>
        <w:tc>
          <w:tcPr>
            <w:tcW w:type="dxa" w:w="2880"/>
            <w:vAlign w:val="center"/>
          </w:tcPr>
          <w:p>
            <w:pPr>
              <w:pStyle w:val="Body"/>
              <w:spacing w:after="60" w:before="40"/>
              <w:jc w:val="left"/>
            </w:pPr>
            <w:r>
              <w:rPr>
                <w:sz w:val="19"/>
              </w:rPr>
              <w:t>Purpose</w:t>
            </w:r>
          </w:p>
        </w:tc>
        <w:tc>
          <w:tcPr>
            <w:tcW w:type="dxa" w:w="6623"/>
            <w:vAlign w:val="center"/>
          </w:tcPr>
          <w:p>
            <w:pPr>
              <w:pStyle w:val="Body"/>
              <w:spacing w:after="60" w:before="40"/>
              <w:jc w:val="left"/>
            </w:pPr>
            <w:r>
              <w:rPr>
                <w:sz w:val="19"/>
              </w:rPr>
              <w:t>Turns fragmented inbound work into clean, project-scoped task records. It is the front door for email, chat, PMIS notifications, uploaded files, and user-submitted requests.</w:t>
            </w:r>
          </w:p>
        </w:tc>
      </w:tr>
      <w:tr>
        <w:tc>
          <w:tcPr>
            <w:tcW w:type="dxa" w:w="2880"/>
            <w:vAlign w:val="center"/>
          </w:tcPr>
          <w:p>
            <w:pPr>
              <w:pStyle w:val="Body"/>
              <w:spacing w:after="60" w:before="40"/>
              <w:jc w:val="left"/>
            </w:pPr>
            <w:r>
              <w:rPr>
                <w:sz w:val="19"/>
              </w:rPr>
              <w:t>Primary triggers</w:t>
            </w:r>
          </w:p>
        </w:tc>
        <w:tc>
          <w:tcPr>
            <w:tcW w:type="dxa" w:w="6623"/>
            <w:vAlign w:val="center"/>
          </w:tcPr>
          <w:p>
            <w:pPr>
              <w:pStyle w:val="Body"/>
              <w:spacing w:after="60" w:before="40"/>
              <w:jc w:val="left"/>
            </w:pPr>
            <w:r>
              <w:rPr>
                <w:sz w:val="19"/>
              </w:rPr>
              <w:t>Inbound email/chat message; new PMIS alert; file upload; manually submitted task request.</w:t>
            </w:r>
          </w:p>
        </w:tc>
      </w:tr>
      <w:tr>
        <w:tc>
          <w:tcPr>
            <w:tcW w:type="dxa" w:w="2880"/>
            <w:vAlign w:val="center"/>
          </w:tcPr>
          <w:p>
            <w:pPr>
              <w:pStyle w:val="Body"/>
              <w:spacing w:after="60" w:before="40"/>
              <w:jc w:val="left"/>
            </w:pPr>
            <w:r>
              <w:rPr>
                <w:sz w:val="19"/>
              </w:rPr>
              <w:t>Accepts tasks</w:t>
            </w:r>
          </w:p>
        </w:tc>
        <w:tc>
          <w:tcPr>
            <w:tcW w:type="dxa" w:w="6623"/>
            <w:vAlign w:val="center"/>
          </w:tcPr>
          <w:p>
            <w:pPr>
              <w:pStyle w:val="Body"/>
              <w:spacing w:after="60" w:before="40"/>
              <w:jc w:val="left"/>
            </w:pPr>
            <w:r>
              <w:rPr>
                <w:sz w:val="19"/>
              </w:rPr>
              <w:t>raw_signal.normalize; project.lookup; route.recommendation</w:t>
            </w:r>
          </w:p>
        </w:tc>
      </w:tr>
      <w:tr>
        <w:tc>
          <w:tcPr>
            <w:tcW w:type="dxa" w:w="2880"/>
            <w:vAlign w:val="center"/>
          </w:tcPr>
          <w:p>
            <w:pPr>
              <w:pStyle w:val="Body"/>
              <w:spacing w:after="60" w:before="40"/>
              <w:jc w:val="left"/>
            </w:pPr>
            <w:r>
              <w:rPr>
                <w:sz w:val="19"/>
              </w:rPr>
              <w:t>Produces</w:t>
            </w:r>
          </w:p>
        </w:tc>
        <w:tc>
          <w:tcPr>
            <w:tcW w:type="dxa" w:w="6623"/>
            <w:vAlign w:val="center"/>
          </w:tcPr>
          <w:p>
            <w:pPr>
              <w:pStyle w:val="Body"/>
              <w:spacing w:after="60" w:before="40"/>
              <w:jc w:val="left"/>
            </w:pPr>
            <w:r>
              <w:rPr>
                <w:sz w:val="19"/>
              </w:rPr>
              <w:t>Intake brief; proposed project/workflow route; severity and due-date hints; source bundle links.</w:t>
            </w:r>
          </w:p>
        </w:tc>
      </w:tr>
      <w:tr>
        <w:tc>
          <w:tcPr>
            <w:tcW w:type="dxa" w:w="2880"/>
            <w:vAlign w:val="center"/>
          </w:tcPr>
          <w:p>
            <w:pPr>
              <w:pStyle w:val="Body"/>
              <w:spacing w:after="60" w:before="40"/>
              <w:jc w:val="left"/>
            </w:pPr>
            <w:r>
              <w:rPr>
                <w:sz w:val="19"/>
              </w:rPr>
              <w:t>Capabilities</w:t>
            </w:r>
          </w:p>
        </w:tc>
        <w:tc>
          <w:tcPr>
            <w:tcW w:type="dxa" w:w="6623"/>
            <w:vAlign w:val="center"/>
          </w:tcPr>
          <w:p>
            <w:pPr>
              <w:pStyle w:val="Body"/>
              <w:spacing w:after="60" w:before="40"/>
              <w:jc w:val="left"/>
            </w:pPr>
            <w:r>
              <w:rPr>
                <w:sz w:val="19"/>
              </w:rPr>
              <w:t>messaging.read; docs.search; pmis.read; directory.lookup; task.write-internal</w:t>
            </w:r>
          </w:p>
        </w:tc>
      </w:tr>
      <w:tr>
        <w:tc>
          <w:tcPr>
            <w:tcW w:type="dxa" w:w="2880"/>
            <w:vAlign w:val="center"/>
          </w:tcPr>
          <w:p>
            <w:pPr>
              <w:pStyle w:val="Body"/>
              <w:spacing w:after="60" w:before="40"/>
              <w:jc w:val="left"/>
            </w:pPr>
            <w:r>
              <w:rPr>
                <w:sz w:val="19"/>
              </w:rPr>
              <w:t>Default approval profile</w:t>
            </w:r>
          </w:p>
        </w:tc>
        <w:tc>
          <w:tcPr>
            <w:tcW w:type="dxa" w:w="6623"/>
            <w:vAlign w:val="center"/>
          </w:tcPr>
          <w:p>
            <w:pPr>
              <w:pStyle w:val="Body"/>
              <w:spacing w:after="60" w:before="40"/>
              <w:jc w:val="left"/>
            </w:pPr>
            <w:r>
              <w:rPr>
                <w:sz w:val="19"/>
              </w:rPr>
              <w:t>Auto for internal task creation. Approval required for any outbound draft to an external recipient.</w:t>
            </w:r>
          </w:p>
        </w:tc>
      </w:tr>
      <w:tr>
        <w:tc>
          <w:tcPr>
            <w:tcW w:type="dxa" w:w="2880"/>
            <w:vAlign w:val="center"/>
          </w:tcPr>
          <w:p>
            <w:pPr>
              <w:pStyle w:val="Body"/>
              <w:spacing w:after="60" w:before="40"/>
              <w:jc w:val="left"/>
            </w:pPr>
            <w:r>
              <w:rPr>
                <w:sz w:val="19"/>
              </w:rPr>
              <w:t>Key KPIs</w:t>
            </w:r>
          </w:p>
        </w:tc>
        <w:tc>
          <w:tcPr>
            <w:tcW w:type="dxa" w:w="6623"/>
            <w:vAlign w:val="center"/>
          </w:tcPr>
          <w:p>
            <w:pPr>
              <w:pStyle w:val="Body"/>
              <w:spacing w:after="60" w:before="40"/>
              <w:jc w:val="left"/>
            </w:pPr>
            <w:r>
              <w:rPr>
                <w:sz w:val="19"/>
              </w:rPr>
              <w:t>Signal-to-route time; orphaned signal count; routing precision.</w:t>
            </w:r>
          </w:p>
        </w:tc>
      </w:tr>
    </w:tbl>
    <w:p/>
    <w:p>
      <w:pPr>
        <w:pStyle w:val="RuhHeading2"/>
        <w:keepNext/>
        <w:spacing w:before="200" w:after="120"/>
      </w:pPr>
      <w:r>
        <w:t>5.2 Document controller</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9"/>
              </w:rPr>
              <w:t>Field</w:t>
            </w:r>
          </w:p>
        </w:tc>
        <w:tc>
          <w:tcPr>
            <w:tcW w:type="dxa" w:w="6623"/>
            <w:vAlign w:val="center"/>
            <w:shd w:fill="DDE8F2" w:val="clear" w:color="auto"/>
          </w:tcPr>
          <w:p>
            <w:pPr>
              <w:pStyle w:val="Body"/>
              <w:jc w:val="center"/>
            </w:pPr>
            <w:r>
              <w:rPr>
                <w:b/>
                <w:sz w:val="19"/>
              </w:rPr>
              <w:t>Definition</w:t>
            </w:r>
          </w:p>
        </w:tc>
      </w:tr>
      <w:tr>
        <w:tc>
          <w:tcPr>
            <w:tcW w:type="dxa" w:w="2880"/>
            <w:vAlign w:val="center"/>
          </w:tcPr>
          <w:p>
            <w:pPr>
              <w:pStyle w:val="Body"/>
              <w:spacing w:after="60" w:before="40"/>
              <w:jc w:val="left"/>
            </w:pPr>
            <w:r>
              <w:rPr>
                <w:sz w:val="19"/>
              </w:rPr>
              <w:t>Purpose</w:t>
            </w:r>
          </w:p>
        </w:tc>
        <w:tc>
          <w:tcPr>
            <w:tcW w:type="dxa" w:w="6623"/>
            <w:vAlign w:val="center"/>
          </w:tcPr>
          <w:p>
            <w:pPr>
              <w:pStyle w:val="Body"/>
              <w:spacing w:after="60" w:before="40"/>
              <w:jc w:val="left"/>
            </w:pPr>
            <w:r>
              <w:rPr>
                <w:sz w:val="19"/>
              </w:rPr>
              <w:t>Resolves the document context for downstream employees by identifying the right drawings, spec sections, prior records, revisions, and missing references.</w:t>
            </w:r>
          </w:p>
        </w:tc>
      </w:tr>
      <w:tr>
        <w:tc>
          <w:tcPr>
            <w:tcW w:type="dxa" w:w="2880"/>
            <w:vAlign w:val="center"/>
          </w:tcPr>
          <w:p>
            <w:pPr>
              <w:pStyle w:val="Body"/>
              <w:spacing w:after="60" w:before="40"/>
              <w:jc w:val="left"/>
            </w:pPr>
            <w:r>
              <w:rPr>
                <w:sz w:val="19"/>
              </w:rPr>
              <w:t>Primary triggers</w:t>
            </w:r>
          </w:p>
        </w:tc>
        <w:tc>
          <w:tcPr>
            <w:tcW w:type="dxa" w:w="6623"/>
            <w:vAlign w:val="center"/>
          </w:tcPr>
          <w:p>
            <w:pPr>
              <w:pStyle w:val="Body"/>
              <w:spacing w:after="60" w:before="40"/>
              <w:jc w:val="left"/>
            </w:pPr>
            <w:r>
              <w:rPr>
                <w:sz w:val="19"/>
              </w:rPr>
              <w:t>Task from intake; workflow step needing source bundle; stale-document warning.</w:t>
            </w:r>
          </w:p>
        </w:tc>
      </w:tr>
      <w:tr>
        <w:tc>
          <w:tcPr>
            <w:tcW w:type="dxa" w:w="2880"/>
            <w:vAlign w:val="center"/>
          </w:tcPr>
          <w:p>
            <w:pPr>
              <w:pStyle w:val="Body"/>
              <w:spacing w:after="60" w:before="40"/>
              <w:jc w:val="left"/>
            </w:pPr>
            <w:r>
              <w:rPr>
                <w:sz w:val="19"/>
              </w:rPr>
              <w:t>Accepts tasks</w:t>
            </w:r>
          </w:p>
        </w:tc>
        <w:tc>
          <w:tcPr>
            <w:tcW w:type="dxa" w:w="6623"/>
            <w:vAlign w:val="center"/>
          </w:tcPr>
          <w:p>
            <w:pPr>
              <w:pStyle w:val="Body"/>
              <w:spacing w:after="60" w:before="40"/>
              <w:jc w:val="left"/>
            </w:pPr>
            <w:r>
              <w:rPr>
                <w:sz w:val="19"/>
              </w:rPr>
              <w:t>document.resolve; revision.check; source.bundle.assemble</w:t>
            </w:r>
          </w:p>
        </w:tc>
      </w:tr>
      <w:tr>
        <w:tc>
          <w:tcPr>
            <w:tcW w:type="dxa" w:w="2880"/>
            <w:vAlign w:val="center"/>
          </w:tcPr>
          <w:p>
            <w:pPr>
              <w:pStyle w:val="Body"/>
              <w:spacing w:after="60" w:before="40"/>
              <w:jc w:val="left"/>
            </w:pPr>
            <w:r>
              <w:rPr>
                <w:sz w:val="19"/>
              </w:rPr>
              <w:t>Produces</w:t>
            </w:r>
          </w:p>
        </w:tc>
        <w:tc>
          <w:tcPr>
            <w:tcW w:type="dxa" w:w="6623"/>
            <w:vAlign w:val="center"/>
          </w:tcPr>
          <w:p>
            <w:pPr>
              <w:pStyle w:val="Body"/>
              <w:spacing w:after="60" w:before="40"/>
              <w:jc w:val="left"/>
            </w:pPr>
            <w:r>
              <w:rPr>
                <w:sz w:val="19"/>
              </w:rPr>
              <w:t>Citation bundle; document register delta; conflict/missing-source alerts.</w:t>
            </w:r>
          </w:p>
        </w:tc>
      </w:tr>
      <w:tr>
        <w:tc>
          <w:tcPr>
            <w:tcW w:type="dxa" w:w="2880"/>
            <w:vAlign w:val="center"/>
          </w:tcPr>
          <w:p>
            <w:pPr>
              <w:pStyle w:val="Body"/>
              <w:spacing w:after="60" w:before="40"/>
              <w:jc w:val="left"/>
            </w:pPr>
            <w:r>
              <w:rPr>
                <w:sz w:val="19"/>
              </w:rPr>
              <w:t>Capabilities</w:t>
            </w:r>
          </w:p>
        </w:tc>
        <w:tc>
          <w:tcPr>
            <w:tcW w:type="dxa" w:w="6623"/>
            <w:vAlign w:val="center"/>
          </w:tcPr>
          <w:p>
            <w:pPr>
              <w:pStyle w:val="Body"/>
              <w:spacing w:after="60" w:before="40"/>
              <w:jc w:val="left"/>
            </w:pPr>
            <w:r>
              <w:rPr>
                <w:sz w:val="19"/>
              </w:rPr>
              <w:t>docs.read; docs.metadata.write; pmis.read; search.index.read</w:t>
            </w:r>
          </w:p>
        </w:tc>
      </w:tr>
      <w:tr>
        <w:tc>
          <w:tcPr>
            <w:tcW w:type="dxa" w:w="2880"/>
            <w:vAlign w:val="center"/>
          </w:tcPr>
          <w:p>
            <w:pPr>
              <w:pStyle w:val="Body"/>
              <w:spacing w:after="60" w:before="40"/>
              <w:jc w:val="left"/>
            </w:pPr>
            <w:r>
              <w:rPr>
                <w:sz w:val="19"/>
              </w:rPr>
              <w:t>Default approval profile</w:t>
            </w:r>
          </w:p>
        </w:tc>
        <w:tc>
          <w:tcPr>
            <w:tcW w:type="dxa" w:w="6623"/>
            <w:vAlign w:val="center"/>
          </w:tcPr>
          <w:p>
            <w:pPr>
              <w:pStyle w:val="Body"/>
              <w:spacing w:after="60" w:before="40"/>
              <w:jc w:val="left"/>
            </w:pPr>
            <w:r>
              <w:rPr>
                <w:sz w:val="19"/>
              </w:rPr>
              <w:t>Auto for internal metadata tagging. Approval required for any external publication or official record change.</w:t>
            </w:r>
          </w:p>
        </w:tc>
      </w:tr>
      <w:tr>
        <w:tc>
          <w:tcPr>
            <w:tcW w:type="dxa" w:w="2880"/>
            <w:vAlign w:val="center"/>
          </w:tcPr>
          <w:p>
            <w:pPr>
              <w:pStyle w:val="Body"/>
              <w:spacing w:after="60" w:before="40"/>
              <w:jc w:val="left"/>
            </w:pPr>
            <w:r>
              <w:rPr>
                <w:sz w:val="19"/>
              </w:rPr>
              <w:t>Key KPIs</w:t>
            </w:r>
          </w:p>
        </w:tc>
        <w:tc>
          <w:tcPr>
            <w:tcW w:type="dxa" w:w="6623"/>
            <w:vAlign w:val="center"/>
          </w:tcPr>
          <w:p>
            <w:pPr>
              <w:pStyle w:val="Body"/>
              <w:spacing w:after="60" w:before="40"/>
              <w:jc w:val="left"/>
            </w:pPr>
            <w:r>
              <w:rPr>
                <w:sz w:val="19"/>
              </w:rPr>
              <w:t>Correct revision selection; stale-source detection recall; missing-reference detection.</w:t>
            </w:r>
          </w:p>
        </w:tc>
      </w:tr>
    </w:tbl>
    <w:p/>
    <w:p>
      <w:pPr>
        <w:pStyle w:val="RuhHeading2"/>
        <w:keepNext/>
        <w:spacing w:before="200" w:after="120"/>
      </w:pPr>
      <w:r>
        <w:t>5.3 RFI coordinator</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9"/>
              </w:rPr>
              <w:t>Field</w:t>
            </w:r>
          </w:p>
        </w:tc>
        <w:tc>
          <w:tcPr>
            <w:tcW w:type="dxa" w:w="6623"/>
            <w:vAlign w:val="center"/>
            <w:shd w:fill="DDE8F2" w:val="clear" w:color="auto"/>
          </w:tcPr>
          <w:p>
            <w:pPr>
              <w:pStyle w:val="Body"/>
              <w:jc w:val="center"/>
            </w:pPr>
            <w:r>
              <w:rPr>
                <w:b/>
                <w:sz w:val="19"/>
              </w:rPr>
              <w:t>Definition</w:t>
            </w:r>
          </w:p>
        </w:tc>
      </w:tr>
      <w:tr>
        <w:tc>
          <w:tcPr>
            <w:tcW w:type="dxa" w:w="2880"/>
            <w:vAlign w:val="center"/>
          </w:tcPr>
          <w:p>
            <w:pPr>
              <w:pStyle w:val="Body"/>
              <w:spacing w:after="60" w:before="40"/>
              <w:jc w:val="left"/>
            </w:pPr>
            <w:r>
              <w:rPr>
                <w:sz w:val="19"/>
              </w:rPr>
              <w:t>Purpose</w:t>
            </w:r>
          </w:p>
        </w:tc>
        <w:tc>
          <w:tcPr>
            <w:tcW w:type="dxa" w:w="6623"/>
            <w:vAlign w:val="center"/>
          </w:tcPr>
          <w:p>
            <w:pPr>
              <w:pStyle w:val="Body"/>
              <w:spacing w:after="60" w:before="40"/>
              <w:jc w:val="left"/>
            </w:pPr>
            <w:r>
              <w:rPr>
                <w:sz w:val="19"/>
              </w:rPr>
              <w:t>Drafts RFIs and related follow-up summaries using validated document context rather than ad-hoc free text.</w:t>
            </w:r>
          </w:p>
        </w:tc>
      </w:tr>
      <w:tr>
        <w:tc>
          <w:tcPr>
            <w:tcW w:type="dxa" w:w="2880"/>
            <w:vAlign w:val="center"/>
          </w:tcPr>
          <w:p>
            <w:pPr>
              <w:pStyle w:val="Body"/>
              <w:spacing w:after="60" w:before="40"/>
              <w:jc w:val="left"/>
            </w:pPr>
            <w:r>
              <w:rPr>
                <w:sz w:val="19"/>
              </w:rPr>
              <w:t>Primary triggers</w:t>
            </w:r>
          </w:p>
        </w:tc>
        <w:tc>
          <w:tcPr>
            <w:tcW w:type="dxa" w:w="6623"/>
            <w:vAlign w:val="center"/>
          </w:tcPr>
          <w:p>
            <w:pPr>
              <w:pStyle w:val="Body"/>
              <w:spacing w:after="60" w:before="40"/>
              <w:jc w:val="left"/>
            </w:pPr>
            <w:r>
              <w:rPr>
                <w:sz w:val="19"/>
              </w:rPr>
              <w:t>Unresolved design question; issue escalated from meeting/action flow; PM/PE request.</w:t>
            </w:r>
          </w:p>
        </w:tc>
      </w:tr>
      <w:tr>
        <w:tc>
          <w:tcPr>
            <w:tcW w:type="dxa" w:w="2880"/>
            <w:vAlign w:val="center"/>
          </w:tcPr>
          <w:p>
            <w:pPr>
              <w:pStyle w:val="Body"/>
              <w:spacing w:after="60" w:before="40"/>
              <w:jc w:val="left"/>
            </w:pPr>
            <w:r>
              <w:rPr>
                <w:sz w:val="19"/>
              </w:rPr>
              <w:t>Accepts tasks</w:t>
            </w:r>
          </w:p>
        </w:tc>
        <w:tc>
          <w:tcPr>
            <w:tcW w:type="dxa" w:w="6623"/>
            <w:vAlign w:val="center"/>
          </w:tcPr>
          <w:p>
            <w:pPr>
              <w:pStyle w:val="Body"/>
              <w:spacing w:after="60" w:before="40"/>
              <w:jc w:val="left"/>
            </w:pPr>
            <w:r>
              <w:rPr>
                <w:sz w:val="19"/>
              </w:rPr>
              <w:t>rfi.prepare; rfi.duplicate-check; rfi.response.summarize</w:t>
            </w:r>
          </w:p>
        </w:tc>
      </w:tr>
      <w:tr>
        <w:tc>
          <w:tcPr>
            <w:tcW w:type="dxa" w:w="2880"/>
            <w:vAlign w:val="center"/>
          </w:tcPr>
          <w:p>
            <w:pPr>
              <w:pStyle w:val="Body"/>
              <w:spacing w:after="60" w:before="40"/>
              <w:jc w:val="left"/>
            </w:pPr>
            <w:r>
              <w:rPr>
                <w:sz w:val="19"/>
              </w:rPr>
              <w:t>Produces</w:t>
            </w:r>
          </w:p>
        </w:tc>
        <w:tc>
          <w:tcPr>
            <w:tcW w:type="dxa" w:w="6623"/>
            <w:vAlign w:val="center"/>
          </w:tcPr>
          <w:p>
            <w:pPr>
              <w:pStyle w:val="Body"/>
              <w:spacing w:after="60" w:before="40"/>
              <w:jc w:val="left"/>
            </w:pPr>
            <w:r>
              <w:rPr>
                <w:sz w:val="19"/>
              </w:rPr>
              <w:t>RFI draft; duplicate analysis; due-date suggestion; response-impact summary.</w:t>
            </w:r>
          </w:p>
        </w:tc>
      </w:tr>
      <w:tr>
        <w:tc>
          <w:tcPr>
            <w:tcW w:type="dxa" w:w="2880"/>
            <w:vAlign w:val="center"/>
          </w:tcPr>
          <w:p>
            <w:pPr>
              <w:pStyle w:val="Body"/>
              <w:spacing w:after="60" w:before="40"/>
              <w:jc w:val="left"/>
            </w:pPr>
            <w:r>
              <w:rPr>
                <w:sz w:val="19"/>
              </w:rPr>
              <w:t>Capabilities</w:t>
            </w:r>
          </w:p>
        </w:tc>
        <w:tc>
          <w:tcPr>
            <w:tcW w:type="dxa" w:w="6623"/>
            <w:vAlign w:val="center"/>
          </w:tcPr>
          <w:p>
            <w:pPr>
              <w:pStyle w:val="Body"/>
              <w:spacing w:after="60" w:before="40"/>
              <w:jc w:val="left"/>
            </w:pPr>
            <w:r>
              <w:rPr>
                <w:sz w:val="19"/>
              </w:rPr>
              <w:t>pmis.read/write-draft; docs.read; messaging.draft; export.pdf</w:t>
            </w:r>
          </w:p>
        </w:tc>
      </w:tr>
      <w:tr>
        <w:tc>
          <w:tcPr>
            <w:tcW w:type="dxa" w:w="2880"/>
            <w:vAlign w:val="center"/>
          </w:tcPr>
          <w:p>
            <w:pPr>
              <w:pStyle w:val="Body"/>
              <w:spacing w:after="60" w:before="40"/>
              <w:jc w:val="left"/>
            </w:pPr>
            <w:r>
              <w:rPr>
                <w:sz w:val="19"/>
              </w:rPr>
              <w:t>Default approval profile</w:t>
            </w:r>
          </w:p>
        </w:tc>
        <w:tc>
          <w:tcPr>
            <w:tcW w:type="dxa" w:w="6623"/>
            <w:vAlign w:val="center"/>
          </w:tcPr>
          <w:p>
            <w:pPr>
              <w:pStyle w:val="Body"/>
              <w:spacing w:after="60" w:before="40"/>
              <w:jc w:val="left"/>
            </w:pPr>
            <w:r>
              <w:rPr>
                <w:sz w:val="19"/>
              </w:rPr>
              <w:t>Human approval required before creating or transmitting an official external RFI.</w:t>
            </w:r>
          </w:p>
        </w:tc>
      </w:tr>
      <w:tr>
        <w:tc>
          <w:tcPr>
            <w:tcW w:type="dxa" w:w="2880"/>
            <w:vAlign w:val="center"/>
          </w:tcPr>
          <w:p>
            <w:pPr>
              <w:pStyle w:val="Body"/>
              <w:spacing w:after="60" w:before="40"/>
              <w:jc w:val="left"/>
            </w:pPr>
            <w:r>
              <w:rPr>
                <w:sz w:val="19"/>
              </w:rPr>
              <w:t>Key KPIs</w:t>
            </w:r>
          </w:p>
        </w:tc>
        <w:tc>
          <w:tcPr>
            <w:tcW w:type="dxa" w:w="6623"/>
            <w:vAlign w:val="center"/>
          </w:tcPr>
          <w:p>
            <w:pPr>
              <w:pStyle w:val="Body"/>
              <w:spacing w:after="60" w:before="40"/>
              <w:jc w:val="left"/>
            </w:pPr>
            <w:r>
              <w:rPr>
                <w:sz w:val="19"/>
              </w:rPr>
              <w:t>Draft-to-approval time; duplicate RFI reduction; citation completeness.</w:t>
            </w:r>
          </w:p>
        </w:tc>
      </w:tr>
    </w:tbl>
    <w:p/>
    <w:p>
      <w:pPr>
        <w:pStyle w:val="RuhHeading2"/>
        <w:keepNext/>
        <w:spacing w:before="200" w:after="120"/>
      </w:pPr>
      <w:r>
        <w:t>5.4 Submittal coordinator</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9"/>
              </w:rPr>
              <w:t>Field</w:t>
            </w:r>
          </w:p>
        </w:tc>
        <w:tc>
          <w:tcPr>
            <w:tcW w:type="dxa" w:w="6623"/>
            <w:vAlign w:val="center"/>
            <w:shd w:fill="DDE8F2" w:val="clear" w:color="auto"/>
          </w:tcPr>
          <w:p>
            <w:pPr>
              <w:pStyle w:val="Body"/>
              <w:jc w:val="center"/>
            </w:pPr>
            <w:r>
              <w:rPr>
                <w:b/>
                <w:sz w:val="19"/>
              </w:rPr>
              <w:t>Definition</w:t>
            </w:r>
          </w:p>
        </w:tc>
      </w:tr>
      <w:tr>
        <w:tc>
          <w:tcPr>
            <w:tcW w:type="dxa" w:w="2880"/>
            <w:vAlign w:val="center"/>
          </w:tcPr>
          <w:p>
            <w:pPr>
              <w:pStyle w:val="Body"/>
              <w:spacing w:after="60" w:before="40"/>
              <w:jc w:val="left"/>
            </w:pPr>
            <w:r>
              <w:rPr>
                <w:sz w:val="19"/>
              </w:rPr>
              <w:t>Purpose</w:t>
            </w:r>
          </w:p>
        </w:tc>
        <w:tc>
          <w:tcPr>
            <w:tcW w:type="dxa" w:w="6623"/>
            <w:vAlign w:val="center"/>
          </w:tcPr>
          <w:p>
            <w:pPr>
              <w:pStyle w:val="Body"/>
              <w:spacing w:after="60" w:before="40"/>
              <w:jc w:val="left"/>
            </w:pPr>
            <w:r>
              <w:rPr>
                <w:sz w:val="19"/>
              </w:rPr>
              <w:t>Automates the clerical work around submittal completeness, routing, reminder management, and comment consolidation.</w:t>
            </w:r>
          </w:p>
        </w:tc>
      </w:tr>
      <w:tr>
        <w:tc>
          <w:tcPr>
            <w:tcW w:type="dxa" w:w="2880"/>
            <w:vAlign w:val="center"/>
          </w:tcPr>
          <w:p>
            <w:pPr>
              <w:pStyle w:val="Body"/>
              <w:spacing w:after="60" w:before="40"/>
              <w:jc w:val="left"/>
            </w:pPr>
            <w:r>
              <w:rPr>
                <w:sz w:val="19"/>
              </w:rPr>
              <w:t>Primary triggers</w:t>
            </w:r>
          </w:p>
        </w:tc>
        <w:tc>
          <w:tcPr>
            <w:tcW w:type="dxa" w:w="6623"/>
            <w:vAlign w:val="center"/>
          </w:tcPr>
          <w:p>
            <w:pPr>
              <w:pStyle w:val="Body"/>
              <w:spacing w:after="60" w:before="40"/>
              <w:jc w:val="left"/>
            </w:pPr>
            <w:r>
              <w:rPr>
                <w:sz w:val="19"/>
              </w:rPr>
              <w:t>New vendor submittal; PMIS submittal state change; overdue review window.</w:t>
            </w:r>
          </w:p>
        </w:tc>
      </w:tr>
      <w:tr>
        <w:tc>
          <w:tcPr>
            <w:tcW w:type="dxa" w:w="2880"/>
            <w:vAlign w:val="center"/>
          </w:tcPr>
          <w:p>
            <w:pPr>
              <w:pStyle w:val="Body"/>
              <w:spacing w:after="60" w:before="40"/>
              <w:jc w:val="left"/>
            </w:pPr>
            <w:r>
              <w:rPr>
                <w:sz w:val="19"/>
              </w:rPr>
              <w:t>Accepts tasks</w:t>
            </w:r>
          </w:p>
        </w:tc>
        <w:tc>
          <w:tcPr>
            <w:tcW w:type="dxa" w:w="6623"/>
            <w:vAlign w:val="center"/>
          </w:tcPr>
          <w:p>
            <w:pPr>
              <w:pStyle w:val="Body"/>
              <w:spacing w:after="60" w:before="40"/>
              <w:jc w:val="left"/>
            </w:pPr>
            <w:r>
              <w:rPr>
                <w:sz w:val="19"/>
              </w:rPr>
              <w:t>submittal.check; submittal.route; submittal.return.package</w:t>
            </w:r>
          </w:p>
        </w:tc>
      </w:tr>
      <w:tr>
        <w:tc>
          <w:tcPr>
            <w:tcW w:type="dxa" w:w="2880"/>
            <w:vAlign w:val="center"/>
          </w:tcPr>
          <w:p>
            <w:pPr>
              <w:pStyle w:val="Body"/>
              <w:spacing w:after="60" w:before="40"/>
              <w:jc w:val="left"/>
            </w:pPr>
            <w:r>
              <w:rPr>
                <w:sz w:val="19"/>
              </w:rPr>
              <w:t>Produces</w:t>
            </w:r>
          </w:p>
        </w:tc>
        <w:tc>
          <w:tcPr>
            <w:tcW w:type="dxa" w:w="6623"/>
            <w:vAlign w:val="center"/>
          </w:tcPr>
          <w:p>
            <w:pPr>
              <w:pStyle w:val="Body"/>
              <w:spacing w:after="60" w:before="40"/>
              <w:jc w:val="left"/>
            </w:pPr>
            <w:r>
              <w:rPr>
                <w:sz w:val="19"/>
              </w:rPr>
              <w:t>Completeness report; reviewer routing list; reminder notifications; consolidated return package draft.</w:t>
            </w:r>
          </w:p>
        </w:tc>
      </w:tr>
      <w:tr>
        <w:tc>
          <w:tcPr>
            <w:tcW w:type="dxa" w:w="2880"/>
            <w:vAlign w:val="center"/>
          </w:tcPr>
          <w:p>
            <w:pPr>
              <w:pStyle w:val="Body"/>
              <w:spacing w:after="60" w:before="40"/>
              <w:jc w:val="left"/>
            </w:pPr>
            <w:r>
              <w:rPr>
                <w:sz w:val="19"/>
              </w:rPr>
              <w:t>Capabilities</w:t>
            </w:r>
          </w:p>
        </w:tc>
        <w:tc>
          <w:tcPr>
            <w:tcW w:type="dxa" w:w="6623"/>
            <w:vAlign w:val="center"/>
          </w:tcPr>
          <w:p>
            <w:pPr>
              <w:pStyle w:val="Body"/>
              <w:spacing w:after="60" w:before="40"/>
              <w:jc w:val="left"/>
            </w:pPr>
            <w:r>
              <w:rPr>
                <w:sz w:val="19"/>
              </w:rPr>
              <w:t>pmis.read/write-draft; docs.read; messaging.draft; calendar.read</w:t>
            </w:r>
          </w:p>
        </w:tc>
      </w:tr>
      <w:tr>
        <w:tc>
          <w:tcPr>
            <w:tcW w:type="dxa" w:w="2880"/>
            <w:vAlign w:val="center"/>
          </w:tcPr>
          <w:p>
            <w:pPr>
              <w:pStyle w:val="Body"/>
              <w:spacing w:after="60" w:before="40"/>
              <w:jc w:val="left"/>
            </w:pPr>
            <w:r>
              <w:rPr>
                <w:sz w:val="19"/>
              </w:rPr>
              <w:t>Default approval profile</w:t>
            </w:r>
          </w:p>
        </w:tc>
        <w:tc>
          <w:tcPr>
            <w:tcW w:type="dxa" w:w="6623"/>
            <w:vAlign w:val="center"/>
          </w:tcPr>
          <w:p>
            <w:pPr>
              <w:pStyle w:val="Body"/>
              <w:spacing w:after="60" w:before="40"/>
              <w:jc w:val="left"/>
            </w:pPr>
            <w:r>
              <w:rPr>
                <w:sz w:val="19"/>
              </w:rPr>
              <w:t>Approval required for final external return package or reviewer assignment updates that change the official record.</w:t>
            </w:r>
          </w:p>
        </w:tc>
      </w:tr>
      <w:tr>
        <w:tc>
          <w:tcPr>
            <w:tcW w:type="dxa" w:w="2880"/>
            <w:vAlign w:val="center"/>
          </w:tcPr>
          <w:p>
            <w:pPr>
              <w:pStyle w:val="Body"/>
              <w:spacing w:after="60" w:before="40"/>
              <w:jc w:val="left"/>
            </w:pPr>
            <w:r>
              <w:rPr>
                <w:sz w:val="19"/>
              </w:rPr>
              <w:t>Key KPIs</w:t>
            </w:r>
          </w:p>
        </w:tc>
        <w:tc>
          <w:tcPr>
            <w:tcW w:type="dxa" w:w="6623"/>
            <w:vAlign w:val="center"/>
          </w:tcPr>
          <w:p>
            <w:pPr>
              <w:pStyle w:val="Body"/>
              <w:spacing w:after="60" w:before="40"/>
              <w:jc w:val="left"/>
            </w:pPr>
            <w:r>
              <w:rPr>
                <w:sz w:val="19"/>
              </w:rPr>
              <w:t>Cycle time; incomplete-package detection precision; overdue-review reduction.</w:t>
            </w:r>
          </w:p>
        </w:tc>
      </w:tr>
    </w:tbl>
    <w:p/>
    <w:p>
      <w:pPr>
        <w:pStyle w:val="RuhHeading2"/>
        <w:keepNext/>
        <w:spacing w:before="200" w:after="120"/>
      </w:pPr>
      <w:r>
        <w:t>5.5 Meeting &amp; reporting analyst</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9"/>
              </w:rPr>
              <w:t>Field</w:t>
            </w:r>
          </w:p>
        </w:tc>
        <w:tc>
          <w:tcPr>
            <w:tcW w:type="dxa" w:w="6623"/>
            <w:vAlign w:val="center"/>
            <w:shd w:fill="DDE8F2" w:val="clear" w:color="auto"/>
          </w:tcPr>
          <w:p>
            <w:pPr>
              <w:pStyle w:val="Body"/>
              <w:jc w:val="center"/>
            </w:pPr>
            <w:r>
              <w:rPr>
                <w:b/>
                <w:sz w:val="19"/>
              </w:rPr>
              <w:t>Definition</w:t>
            </w:r>
          </w:p>
        </w:tc>
      </w:tr>
      <w:tr>
        <w:tc>
          <w:tcPr>
            <w:tcW w:type="dxa" w:w="2880"/>
            <w:vAlign w:val="center"/>
          </w:tcPr>
          <w:p>
            <w:pPr>
              <w:pStyle w:val="Body"/>
              <w:spacing w:after="60" w:before="40"/>
              <w:jc w:val="left"/>
            </w:pPr>
            <w:r>
              <w:rPr>
                <w:sz w:val="19"/>
              </w:rPr>
              <w:t>Purpose</w:t>
            </w:r>
          </w:p>
        </w:tc>
        <w:tc>
          <w:tcPr>
            <w:tcW w:type="dxa" w:w="6623"/>
            <w:vAlign w:val="center"/>
          </w:tcPr>
          <w:p>
            <w:pPr>
              <w:pStyle w:val="Body"/>
              <w:spacing w:after="60" w:before="40"/>
              <w:jc w:val="left"/>
            </w:pPr>
            <w:r>
              <w:rPr>
                <w:sz w:val="19"/>
              </w:rPr>
              <w:t>Packages project status into recurring internal and external summaries without forcing senior staff to assemble every artifact by hand.</w:t>
            </w:r>
          </w:p>
        </w:tc>
      </w:tr>
      <w:tr>
        <w:tc>
          <w:tcPr>
            <w:tcW w:type="dxa" w:w="2880"/>
            <w:vAlign w:val="center"/>
          </w:tcPr>
          <w:p>
            <w:pPr>
              <w:pStyle w:val="Body"/>
              <w:spacing w:after="60" w:before="40"/>
              <w:jc w:val="left"/>
            </w:pPr>
            <w:r>
              <w:rPr>
                <w:sz w:val="19"/>
              </w:rPr>
              <w:t>Primary triggers</w:t>
            </w:r>
          </w:p>
        </w:tc>
        <w:tc>
          <w:tcPr>
            <w:tcW w:type="dxa" w:w="6623"/>
            <w:vAlign w:val="center"/>
          </w:tcPr>
          <w:p>
            <w:pPr>
              <w:pStyle w:val="Body"/>
              <w:spacing w:after="60" w:before="40"/>
              <w:jc w:val="left"/>
            </w:pPr>
            <w:r>
              <w:rPr>
                <w:sz w:val="19"/>
              </w:rPr>
              <w:t>Scheduled meeting; end-of-day or end-of-week schedule; PM/leadership request.</w:t>
            </w:r>
          </w:p>
        </w:tc>
      </w:tr>
      <w:tr>
        <w:tc>
          <w:tcPr>
            <w:tcW w:type="dxa" w:w="2880"/>
            <w:vAlign w:val="center"/>
          </w:tcPr>
          <w:p>
            <w:pPr>
              <w:pStyle w:val="Body"/>
              <w:spacing w:after="60" w:before="40"/>
              <w:jc w:val="left"/>
            </w:pPr>
            <w:r>
              <w:rPr>
                <w:sz w:val="19"/>
              </w:rPr>
              <w:t>Accepts tasks</w:t>
            </w:r>
          </w:p>
        </w:tc>
        <w:tc>
          <w:tcPr>
            <w:tcW w:type="dxa" w:w="6623"/>
            <w:vAlign w:val="center"/>
          </w:tcPr>
          <w:p>
            <w:pPr>
              <w:pStyle w:val="Body"/>
              <w:spacing w:after="60" w:before="40"/>
              <w:jc w:val="left"/>
            </w:pPr>
            <w:r>
              <w:rPr>
                <w:sz w:val="19"/>
              </w:rPr>
              <w:t>meeting.pack.prepare; report.weekly.generate; summary.compose</w:t>
            </w:r>
          </w:p>
        </w:tc>
      </w:tr>
      <w:tr>
        <w:tc>
          <w:tcPr>
            <w:tcW w:type="dxa" w:w="2880"/>
            <w:vAlign w:val="center"/>
          </w:tcPr>
          <w:p>
            <w:pPr>
              <w:pStyle w:val="Body"/>
              <w:spacing w:after="60" w:before="40"/>
              <w:jc w:val="left"/>
            </w:pPr>
            <w:r>
              <w:rPr>
                <w:sz w:val="19"/>
              </w:rPr>
              <w:t>Produces</w:t>
            </w:r>
          </w:p>
        </w:tc>
        <w:tc>
          <w:tcPr>
            <w:tcW w:type="dxa" w:w="6623"/>
            <w:vAlign w:val="center"/>
          </w:tcPr>
          <w:p>
            <w:pPr>
              <w:pStyle w:val="Body"/>
              <w:spacing w:after="60" w:before="40"/>
              <w:jc w:val="left"/>
            </w:pPr>
            <w:r>
              <w:rPr>
                <w:sz w:val="19"/>
              </w:rPr>
              <w:t>Agenda; meeting pack; meeting notes draft; daily/weekly report draft; executive summary.</w:t>
            </w:r>
          </w:p>
        </w:tc>
      </w:tr>
      <w:tr>
        <w:tc>
          <w:tcPr>
            <w:tcW w:type="dxa" w:w="2880"/>
            <w:vAlign w:val="center"/>
          </w:tcPr>
          <w:p>
            <w:pPr>
              <w:pStyle w:val="Body"/>
              <w:spacing w:after="60" w:before="40"/>
              <w:jc w:val="left"/>
            </w:pPr>
            <w:r>
              <w:rPr>
                <w:sz w:val="19"/>
              </w:rPr>
              <w:t>Capabilities</w:t>
            </w:r>
          </w:p>
        </w:tc>
        <w:tc>
          <w:tcPr>
            <w:tcW w:type="dxa" w:w="6623"/>
            <w:vAlign w:val="center"/>
          </w:tcPr>
          <w:p>
            <w:pPr>
              <w:pStyle w:val="Body"/>
              <w:spacing w:after="60" w:before="40"/>
              <w:jc w:val="left"/>
            </w:pPr>
            <w:r>
              <w:rPr>
                <w:sz w:val="19"/>
              </w:rPr>
              <w:t>calendar.read; docs.read/write-draft; pmis.read; export.pdf</w:t>
            </w:r>
          </w:p>
        </w:tc>
      </w:tr>
      <w:tr>
        <w:tc>
          <w:tcPr>
            <w:tcW w:type="dxa" w:w="2880"/>
            <w:vAlign w:val="center"/>
          </w:tcPr>
          <w:p>
            <w:pPr>
              <w:pStyle w:val="Body"/>
              <w:spacing w:after="60" w:before="40"/>
              <w:jc w:val="left"/>
            </w:pPr>
            <w:r>
              <w:rPr>
                <w:sz w:val="19"/>
              </w:rPr>
              <w:t>Default approval profile</w:t>
            </w:r>
          </w:p>
        </w:tc>
        <w:tc>
          <w:tcPr>
            <w:tcW w:type="dxa" w:w="6623"/>
            <w:vAlign w:val="center"/>
          </w:tcPr>
          <w:p>
            <w:pPr>
              <w:pStyle w:val="Body"/>
              <w:spacing w:after="60" w:before="40"/>
              <w:jc w:val="left"/>
            </w:pPr>
            <w:r>
              <w:rPr>
                <w:sz w:val="19"/>
              </w:rPr>
              <w:t>External distribution requires approval. Internal drafts and working packs may auto-generate.</w:t>
            </w:r>
          </w:p>
        </w:tc>
      </w:tr>
      <w:tr>
        <w:tc>
          <w:tcPr>
            <w:tcW w:type="dxa" w:w="2880"/>
            <w:vAlign w:val="center"/>
          </w:tcPr>
          <w:p>
            <w:pPr>
              <w:pStyle w:val="Body"/>
              <w:spacing w:after="60" w:before="40"/>
              <w:jc w:val="left"/>
            </w:pPr>
            <w:r>
              <w:rPr>
                <w:sz w:val="19"/>
              </w:rPr>
              <w:t>Key KPIs</w:t>
            </w:r>
          </w:p>
        </w:tc>
        <w:tc>
          <w:tcPr>
            <w:tcW w:type="dxa" w:w="6623"/>
            <w:vAlign w:val="center"/>
          </w:tcPr>
          <w:p>
            <w:pPr>
              <w:pStyle w:val="Body"/>
              <w:spacing w:after="60" w:before="40"/>
              <w:jc w:val="left"/>
            </w:pPr>
            <w:r>
              <w:rPr>
                <w:sz w:val="19"/>
              </w:rPr>
              <w:t>Minutes turnaround; report prep time; action extraction quality.</w:t>
            </w:r>
          </w:p>
        </w:tc>
      </w:tr>
    </w:tbl>
    <w:p/>
    <w:p>
      <w:pPr>
        <w:pStyle w:val="RuhHeading2"/>
        <w:keepNext/>
        <w:spacing w:before="200" w:after="120"/>
      </w:pPr>
      <w:r>
        <w:t>5.6 Action &amp; risk tracker</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5083"/>
        <w:gridCol w:w="5083"/>
      </w:tblGrid>
      <w:tr>
        <w:tc>
          <w:tcPr>
            <w:tcW w:type="dxa" w:w="2880"/>
            <w:vAlign w:val="center"/>
            <w:shd w:fill="DDE8F2" w:val="clear" w:color="auto"/>
          </w:tcPr>
          <w:p>
            <w:pPr>
              <w:pStyle w:val="Body"/>
              <w:jc w:val="center"/>
            </w:pPr>
            <w:r>
              <w:rPr>
                <w:b/>
                <w:sz w:val="19"/>
              </w:rPr>
              <w:t>Field</w:t>
            </w:r>
          </w:p>
        </w:tc>
        <w:tc>
          <w:tcPr>
            <w:tcW w:type="dxa" w:w="6623"/>
            <w:vAlign w:val="center"/>
            <w:shd w:fill="DDE8F2" w:val="clear" w:color="auto"/>
          </w:tcPr>
          <w:p>
            <w:pPr>
              <w:pStyle w:val="Body"/>
              <w:jc w:val="center"/>
            </w:pPr>
            <w:r>
              <w:rPr>
                <w:b/>
                <w:sz w:val="19"/>
              </w:rPr>
              <w:t>Definition</w:t>
            </w:r>
          </w:p>
        </w:tc>
      </w:tr>
      <w:tr>
        <w:tc>
          <w:tcPr>
            <w:tcW w:type="dxa" w:w="2880"/>
            <w:vAlign w:val="center"/>
          </w:tcPr>
          <w:p>
            <w:pPr>
              <w:pStyle w:val="Body"/>
              <w:spacing w:after="60" w:before="40"/>
              <w:jc w:val="left"/>
            </w:pPr>
            <w:r>
              <w:rPr>
                <w:sz w:val="19"/>
              </w:rPr>
              <w:t>Purpose</w:t>
            </w:r>
          </w:p>
        </w:tc>
        <w:tc>
          <w:tcPr>
            <w:tcW w:type="dxa" w:w="6623"/>
            <w:vAlign w:val="center"/>
          </w:tcPr>
          <w:p>
            <w:pPr>
              <w:pStyle w:val="Body"/>
              <w:spacing w:after="60" w:before="40"/>
              <w:jc w:val="left"/>
            </w:pPr>
            <w:r>
              <w:rPr>
                <w:sz w:val="19"/>
              </w:rPr>
              <w:t>Owns the follow-through layer by maintaining action items, reminders, overdue notifications, and simple issue/risk watchlists.</w:t>
            </w:r>
          </w:p>
        </w:tc>
      </w:tr>
      <w:tr>
        <w:tc>
          <w:tcPr>
            <w:tcW w:type="dxa" w:w="2880"/>
            <w:vAlign w:val="center"/>
          </w:tcPr>
          <w:p>
            <w:pPr>
              <w:pStyle w:val="Body"/>
              <w:spacing w:after="60" w:before="40"/>
              <w:jc w:val="left"/>
            </w:pPr>
            <w:r>
              <w:rPr>
                <w:sz w:val="19"/>
              </w:rPr>
              <w:t>Primary triggers</w:t>
            </w:r>
          </w:p>
        </w:tc>
        <w:tc>
          <w:tcPr>
            <w:tcW w:type="dxa" w:w="6623"/>
            <w:vAlign w:val="center"/>
          </w:tcPr>
          <w:p>
            <w:pPr>
              <w:pStyle w:val="Body"/>
              <w:spacing w:after="60" w:before="40"/>
              <w:jc w:val="left"/>
            </w:pPr>
            <w:r>
              <w:rPr>
                <w:sz w:val="19"/>
              </w:rPr>
              <w:t>Meeting notes; RFI/submittal status changes; overdue thresholds; manual update request.</w:t>
            </w:r>
          </w:p>
        </w:tc>
      </w:tr>
      <w:tr>
        <w:tc>
          <w:tcPr>
            <w:tcW w:type="dxa" w:w="2880"/>
            <w:vAlign w:val="center"/>
          </w:tcPr>
          <w:p>
            <w:pPr>
              <w:pStyle w:val="Body"/>
              <w:spacing w:after="60" w:before="40"/>
              <w:jc w:val="left"/>
            </w:pPr>
            <w:r>
              <w:rPr>
                <w:sz w:val="19"/>
              </w:rPr>
              <w:t>Accepts tasks</w:t>
            </w:r>
          </w:p>
        </w:tc>
        <w:tc>
          <w:tcPr>
            <w:tcW w:type="dxa" w:w="6623"/>
            <w:vAlign w:val="center"/>
          </w:tcPr>
          <w:p>
            <w:pPr>
              <w:pStyle w:val="Body"/>
              <w:spacing w:after="60" w:before="40"/>
              <w:jc w:val="left"/>
            </w:pPr>
            <w:r>
              <w:rPr>
                <w:sz w:val="19"/>
              </w:rPr>
              <w:t>action.register.update; reminder.send; risk.watchlist.update</w:t>
            </w:r>
          </w:p>
        </w:tc>
      </w:tr>
      <w:tr>
        <w:tc>
          <w:tcPr>
            <w:tcW w:type="dxa" w:w="2880"/>
            <w:vAlign w:val="center"/>
          </w:tcPr>
          <w:p>
            <w:pPr>
              <w:pStyle w:val="Body"/>
              <w:spacing w:after="60" w:before="40"/>
              <w:jc w:val="left"/>
            </w:pPr>
            <w:r>
              <w:rPr>
                <w:sz w:val="19"/>
              </w:rPr>
              <w:t>Produces</w:t>
            </w:r>
          </w:p>
        </w:tc>
        <w:tc>
          <w:tcPr>
            <w:tcW w:type="dxa" w:w="6623"/>
            <w:vAlign w:val="center"/>
          </w:tcPr>
          <w:p>
            <w:pPr>
              <w:pStyle w:val="Body"/>
              <w:spacing w:after="60" w:before="40"/>
              <w:jc w:val="left"/>
            </w:pPr>
            <w:r>
              <w:rPr>
                <w:sz w:val="19"/>
              </w:rPr>
              <w:t>Action register delta; reminder queue; overdue digest; risk watchlist updates.</w:t>
            </w:r>
          </w:p>
        </w:tc>
      </w:tr>
      <w:tr>
        <w:tc>
          <w:tcPr>
            <w:tcW w:type="dxa" w:w="2880"/>
            <w:vAlign w:val="center"/>
          </w:tcPr>
          <w:p>
            <w:pPr>
              <w:pStyle w:val="Body"/>
              <w:spacing w:after="60" w:before="40"/>
              <w:jc w:val="left"/>
            </w:pPr>
            <w:r>
              <w:rPr>
                <w:sz w:val="19"/>
              </w:rPr>
              <w:t>Capabilities</w:t>
            </w:r>
          </w:p>
        </w:tc>
        <w:tc>
          <w:tcPr>
            <w:tcW w:type="dxa" w:w="6623"/>
            <w:vAlign w:val="center"/>
          </w:tcPr>
          <w:p>
            <w:pPr>
              <w:pStyle w:val="Body"/>
              <w:spacing w:after="60" w:before="40"/>
              <w:jc w:val="left"/>
            </w:pPr>
            <w:r>
              <w:rPr>
                <w:sz w:val="19"/>
              </w:rPr>
              <w:t>task.read/write; pmis.read/write-limited; messaging.notify; report.export</w:t>
            </w:r>
          </w:p>
        </w:tc>
      </w:tr>
      <w:tr>
        <w:tc>
          <w:tcPr>
            <w:tcW w:type="dxa" w:w="2880"/>
            <w:vAlign w:val="center"/>
          </w:tcPr>
          <w:p>
            <w:pPr>
              <w:pStyle w:val="Body"/>
              <w:spacing w:after="60" w:before="40"/>
              <w:jc w:val="left"/>
            </w:pPr>
            <w:r>
              <w:rPr>
                <w:sz w:val="19"/>
              </w:rPr>
              <w:t>Default approval profile</w:t>
            </w:r>
          </w:p>
        </w:tc>
        <w:tc>
          <w:tcPr>
            <w:tcW w:type="dxa" w:w="6623"/>
            <w:vAlign w:val="center"/>
          </w:tcPr>
          <w:p>
            <w:pPr>
              <w:pStyle w:val="Body"/>
              <w:spacing w:after="60" w:before="40"/>
              <w:jc w:val="left"/>
            </w:pPr>
            <w:r>
              <w:rPr>
                <w:sz w:val="19"/>
              </w:rPr>
              <w:t>Auto for internal reminders and internal task updates. Approval required for external owner/designer notifications.</w:t>
            </w:r>
          </w:p>
        </w:tc>
      </w:tr>
      <w:tr>
        <w:tc>
          <w:tcPr>
            <w:tcW w:type="dxa" w:w="2880"/>
            <w:vAlign w:val="center"/>
          </w:tcPr>
          <w:p>
            <w:pPr>
              <w:pStyle w:val="Body"/>
              <w:spacing w:after="60" w:before="40"/>
              <w:jc w:val="left"/>
            </w:pPr>
            <w:r>
              <w:rPr>
                <w:sz w:val="19"/>
              </w:rPr>
              <w:t>Key KPIs</w:t>
            </w:r>
          </w:p>
        </w:tc>
        <w:tc>
          <w:tcPr>
            <w:tcW w:type="dxa" w:w="6623"/>
            <w:vAlign w:val="center"/>
          </w:tcPr>
          <w:p>
            <w:pPr>
              <w:pStyle w:val="Body"/>
              <w:spacing w:after="60" w:before="40"/>
              <w:jc w:val="left"/>
            </w:pPr>
            <w:r>
              <w:rPr>
                <w:sz w:val="19"/>
              </w:rPr>
              <w:t>Overdue action count; reminder timeliness; status freshness.</w:t>
            </w:r>
          </w:p>
        </w:tc>
      </w:tr>
    </w:tbl>
    <w:p/>
    <w:p>
      <w:pPr>
        <w:pStyle w:val="RuhHeading1"/>
        <w:keepNext/>
        <w:spacing w:before="320" w:after="160"/>
      </w:pPr>
      <w:r>
        <w:t>6. Workflow catalog</w:t>
      </w:r>
    </w:p>
    <w:p>
      <w:pPr>
        <w:pStyle w:val="Body"/>
        <w:spacing w:after="120" w:before="0" w:line="276" w:lineRule="auto"/>
      </w:pPr>
      <w:r>
        <w:t>Each workflow below is pack content, not bespoke implementation logic. The orchestrator materializes official task records, assigns the primary employee, enforces approval gates, and records artifacts. Employees produce proposals and outputs; the workflow engine owns business state.</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1694"/>
        <w:gridCol w:w="1694"/>
        <w:gridCol w:w="1694"/>
        <w:gridCol w:w="1694"/>
        <w:gridCol w:w="1694"/>
        <w:gridCol w:w="1694"/>
      </w:tblGrid>
      <w:tr>
        <w:tc>
          <w:tcPr>
            <w:tcW w:type="dxa" w:w="1800"/>
            <w:vAlign w:val="center"/>
            <w:shd w:fill="DDE8F2" w:val="clear" w:color="auto"/>
          </w:tcPr>
          <w:p>
            <w:pPr>
              <w:pStyle w:val="Body"/>
              <w:jc w:val="center"/>
            </w:pPr>
            <w:r>
              <w:rPr>
                <w:b/>
                <w:sz w:val="16"/>
              </w:rPr>
              <w:t>Workflow</w:t>
            </w:r>
          </w:p>
        </w:tc>
        <w:tc>
          <w:tcPr>
            <w:tcW w:type="dxa" w:w="1512"/>
            <w:vAlign w:val="center"/>
            <w:shd w:fill="DDE8F2" w:val="clear" w:color="auto"/>
          </w:tcPr>
          <w:p>
            <w:pPr>
              <w:pStyle w:val="Body"/>
              <w:jc w:val="center"/>
            </w:pPr>
            <w:r>
              <w:rPr>
                <w:b/>
                <w:sz w:val="16"/>
              </w:rPr>
              <w:t>Primary trigger</w:t>
            </w:r>
          </w:p>
        </w:tc>
        <w:tc>
          <w:tcPr>
            <w:tcW w:type="dxa" w:w="2088"/>
            <w:vAlign w:val="center"/>
            <w:shd w:fill="DDE8F2" w:val="clear" w:color="auto"/>
          </w:tcPr>
          <w:p>
            <w:pPr>
              <w:pStyle w:val="Body"/>
              <w:jc w:val="center"/>
            </w:pPr>
            <w:r>
              <w:rPr>
                <w:b/>
                <w:sz w:val="16"/>
              </w:rPr>
              <w:t>Employee pattern</w:t>
            </w:r>
          </w:p>
        </w:tc>
        <w:tc>
          <w:tcPr>
            <w:tcW w:type="dxa" w:w="2592"/>
            <w:vAlign w:val="center"/>
            <w:shd w:fill="DDE8F2" w:val="clear" w:color="auto"/>
          </w:tcPr>
          <w:p>
            <w:pPr>
              <w:pStyle w:val="Body"/>
              <w:jc w:val="center"/>
            </w:pPr>
            <w:r>
              <w:rPr>
                <w:b/>
                <w:sz w:val="16"/>
              </w:rPr>
              <w:t>What the workflow does</w:t>
            </w:r>
          </w:p>
        </w:tc>
        <w:tc>
          <w:tcPr>
            <w:tcW w:type="dxa" w:w="1655"/>
            <w:vAlign w:val="center"/>
            <w:shd w:fill="DDE8F2" w:val="clear" w:color="auto"/>
          </w:tcPr>
          <w:p>
            <w:pPr>
              <w:pStyle w:val="Body"/>
              <w:jc w:val="center"/>
            </w:pPr>
            <w:r>
              <w:rPr>
                <w:b/>
                <w:sz w:val="16"/>
              </w:rPr>
              <w:t>Approval gate</w:t>
            </w:r>
          </w:p>
        </w:tc>
        <w:tc>
          <w:tcPr>
            <w:tcW w:type="dxa" w:w="1296"/>
            <w:vAlign w:val="center"/>
            <w:shd w:fill="DDE8F2" w:val="clear" w:color="auto"/>
          </w:tcPr>
          <w:p>
            <w:pPr>
              <w:pStyle w:val="Body"/>
              <w:jc w:val="center"/>
            </w:pPr>
            <w:r>
              <w:rPr>
                <w:b/>
                <w:sz w:val="16"/>
              </w:rPr>
              <w:t>Primary measures</w:t>
            </w:r>
          </w:p>
        </w:tc>
      </w:tr>
      <w:tr>
        <w:tc>
          <w:tcPr>
            <w:tcW w:type="dxa" w:w="1800"/>
            <w:vAlign w:val="center"/>
          </w:tcPr>
          <w:p>
            <w:pPr>
              <w:pStyle w:val="Body"/>
              <w:spacing w:after="60" w:before="40"/>
              <w:jc w:val="left"/>
            </w:pPr>
            <w:r>
              <w:rPr>
                <w:sz w:val="16"/>
              </w:rPr>
              <w:t>Correspondence intake and project routing</w:t>
            </w:r>
          </w:p>
        </w:tc>
        <w:tc>
          <w:tcPr>
            <w:tcW w:type="dxa" w:w="1512"/>
            <w:vAlign w:val="center"/>
          </w:tcPr>
          <w:p>
            <w:pPr>
              <w:pStyle w:val="Body"/>
              <w:spacing w:after="60" w:before="40"/>
              <w:jc w:val="left"/>
            </w:pPr>
            <w:r>
              <w:rPr>
                <w:sz w:val="16"/>
              </w:rPr>
              <w:t>Inbound email/chat/PMIS signal</w:t>
            </w:r>
          </w:p>
        </w:tc>
        <w:tc>
          <w:tcPr>
            <w:tcW w:type="dxa" w:w="2088"/>
            <w:vAlign w:val="center"/>
          </w:tcPr>
          <w:p>
            <w:pPr>
              <w:pStyle w:val="Body"/>
              <w:spacing w:after="60" w:before="40"/>
              <w:jc w:val="left"/>
            </w:pPr>
            <w:r>
              <w:rPr>
                <w:sz w:val="16"/>
              </w:rPr>
              <w:t>Intake coordinator -&gt; document controller as needed</w:t>
            </w:r>
          </w:p>
        </w:tc>
        <w:tc>
          <w:tcPr>
            <w:tcW w:type="dxa" w:w="2592"/>
            <w:vAlign w:val="center"/>
          </w:tcPr>
          <w:p>
            <w:pPr>
              <w:pStyle w:val="Body"/>
              <w:spacing w:after="60" w:before="40"/>
              <w:jc w:val="left"/>
            </w:pPr>
            <w:r>
              <w:rPr>
                <w:sz w:val="16"/>
              </w:rPr>
              <w:t>Normalize signal, detect project, classify intent, create task, notify owner</w:t>
            </w:r>
          </w:p>
        </w:tc>
        <w:tc>
          <w:tcPr>
            <w:tcW w:type="dxa" w:w="1655"/>
            <w:vAlign w:val="center"/>
          </w:tcPr>
          <w:p>
            <w:pPr>
              <w:pStyle w:val="Body"/>
              <w:spacing w:after="60" w:before="40"/>
              <w:jc w:val="left"/>
            </w:pPr>
            <w:r>
              <w:rPr>
                <w:sz w:val="16"/>
              </w:rPr>
              <w:t>Mostly auto; external reply draft requires approval</w:t>
            </w:r>
          </w:p>
        </w:tc>
        <w:tc>
          <w:tcPr>
            <w:tcW w:type="dxa" w:w="1296"/>
            <w:vAlign w:val="center"/>
          </w:tcPr>
          <w:p>
            <w:pPr>
              <w:pStyle w:val="Body"/>
              <w:spacing w:after="60" w:before="40"/>
              <w:jc w:val="left"/>
            </w:pPr>
            <w:r>
              <w:rPr>
                <w:sz w:val="16"/>
              </w:rPr>
              <w:t>Signal-to-route time; routing precision</w:t>
            </w:r>
          </w:p>
        </w:tc>
      </w:tr>
      <w:tr>
        <w:tc>
          <w:tcPr>
            <w:tcW w:type="dxa" w:w="1800"/>
            <w:vAlign w:val="center"/>
          </w:tcPr>
          <w:p>
            <w:pPr>
              <w:pStyle w:val="Body"/>
              <w:spacing w:after="60" w:before="40"/>
              <w:jc w:val="left"/>
            </w:pPr>
            <w:r>
              <w:rPr>
                <w:sz w:val="16"/>
              </w:rPr>
              <w:t>RFI lifecycle</w:t>
            </w:r>
          </w:p>
        </w:tc>
        <w:tc>
          <w:tcPr>
            <w:tcW w:type="dxa" w:w="1512"/>
            <w:vAlign w:val="center"/>
          </w:tcPr>
          <w:p>
            <w:pPr>
              <w:pStyle w:val="Body"/>
              <w:spacing w:after="60" w:before="40"/>
              <w:jc w:val="left"/>
            </w:pPr>
            <w:r>
              <w:rPr>
                <w:sz w:val="16"/>
              </w:rPr>
              <w:t>User request or unresolved coordination issue</w:t>
            </w:r>
          </w:p>
        </w:tc>
        <w:tc>
          <w:tcPr>
            <w:tcW w:type="dxa" w:w="2088"/>
            <w:vAlign w:val="center"/>
          </w:tcPr>
          <w:p>
            <w:pPr>
              <w:pStyle w:val="Body"/>
              <w:spacing w:after="60" w:before="40"/>
              <w:jc w:val="left"/>
            </w:pPr>
            <w:r>
              <w:rPr>
                <w:sz w:val="16"/>
              </w:rPr>
              <w:t>RFI coordinator with document controller support</w:t>
            </w:r>
          </w:p>
        </w:tc>
        <w:tc>
          <w:tcPr>
            <w:tcW w:type="dxa" w:w="2592"/>
            <w:vAlign w:val="center"/>
          </w:tcPr>
          <w:p>
            <w:pPr>
              <w:pStyle w:val="Body"/>
              <w:spacing w:after="60" w:before="40"/>
              <w:jc w:val="left"/>
            </w:pPr>
            <w:r>
              <w:rPr>
                <w:sz w:val="16"/>
              </w:rPr>
              <w:t>Resolve source bundle, check duplicates, draft RFI, request approval, write back, monitor response, summarize answer</w:t>
            </w:r>
          </w:p>
        </w:tc>
        <w:tc>
          <w:tcPr>
            <w:tcW w:type="dxa" w:w="1655"/>
            <w:vAlign w:val="center"/>
          </w:tcPr>
          <w:p>
            <w:pPr>
              <w:pStyle w:val="Body"/>
              <w:spacing w:after="60" w:before="40"/>
              <w:jc w:val="left"/>
            </w:pPr>
            <w:r>
              <w:rPr>
                <w:sz w:val="16"/>
              </w:rPr>
              <w:t>Official RFI creation or send requires approval</w:t>
            </w:r>
          </w:p>
        </w:tc>
        <w:tc>
          <w:tcPr>
            <w:tcW w:type="dxa" w:w="1296"/>
            <w:vAlign w:val="center"/>
          </w:tcPr>
          <w:p>
            <w:pPr>
              <w:pStyle w:val="Body"/>
              <w:spacing w:after="60" w:before="40"/>
              <w:jc w:val="left"/>
            </w:pPr>
            <w:r>
              <w:rPr>
                <w:sz w:val="16"/>
              </w:rPr>
              <w:t>Draft-to-submit time; duplicate rate</w:t>
            </w:r>
          </w:p>
        </w:tc>
      </w:tr>
      <w:tr>
        <w:tc>
          <w:tcPr>
            <w:tcW w:type="dxa" w:w="1800"/>
            <w:vAlign w:val="center"/>
          </w:tcPr>
          <w:p>
            <w:pPr>
              <w:pStyle w:val="Body"/>
              <w:spacing w:after="60" w:before="40"/>
              <w:jc w:val="left"/>
            </w:pPr>
            <w:r>
              <w:rPr>
                <w:sz w:val="16"/>
              </w:rPr>
              <w:t>Submittal lifecycle</w:t>
            </w:r>
          </w:p>
        </w:tc>
        <w:tc>
          <w:tcPr>
            <w:tcW w:type="dxa" w:w="1512"/>
            <w:vAlign w:val="center"/>
          </w:tcPr>
          <w:p>
            <w:pPr>
              <w:pStyle w:val="Body"/>
              <w:spacing w:after="60" w:before="40"/>
              <w:jc w:val="left"/>
            </w:pPr>
            <w:r>
              <w:rPr>
                <w:sz w:val="16"/>
              </w:rPr>
              <w:t>New vendor package or PMIS state change</w:t>
            </w:r>
          </w:p>
        </w:tc>
        <w:tc>
          <w:tcPr>
            <w:tcW w:type="dxa" w:w="2088"/>
            <w:vAlign w:val="center"/>
          </w:tcPr>
          <w:p>
            <w:pPr>
              <w:pStyle w:val="Body"/>
              <w:spacing w:after="60" w:before="40"/>
              <w:jc w:val="left"/>
            </w:pPr>
            <w:r>
              <w:rPr>
                <w:sz w:val="16"/>
              </w:rPr>
              <w:t>Submittal coordinator with action tracker</w:t>
            </w:r>
          </w:p>
        </w:tc>
        <w:tc>
          <w:tcPr>
            <w:tcW w:type="dxa" w:w="2592"/>
            <w:vAlign w:val="center"/>
          </w:tcPr>
          <w:p>
            <w:pPr>
              <w:pStyle w:val="Body"/>
              <w:spacing w:after="60" w:before="40"/>
              <w:jc w:val="left"/>
            </w:pPr>
            <w:r>
              <w:rPr>
                <w:sz w:val="16"/>
              </w:rPr>
              <w:t>Check completeness, route reviewers, chase overdue reviews, consolidate comments, prepare return package</w:t>
            </w:r>
          </w:p>
        </w:tc>
        <w:tc>
          <w:tcPr>
            <w:tcW w:type="dxa" w:w="1655"/>
            <w:vAlign w:val="center"/>
          </w:tcPr>
          <w:p>
            <w:pPr>
              <w:pStyle w:val="Body"/>
              <w:spacing w:after="60" w:before="40"/>
              <w:jc w:val="left"/>
            </w:pPr>
            <w:r>
              <w:rPr>
                <w:sz w:val="16"/>
              </w:rPr>
              <w:t>Final return or official reviewer update requires approval</w:t>
            </w:r>
          </w:p>
        </w:tc>
        <w:tc>
          <w:tcPr>
            <w:tcW w:type="dxa" w:w="1296"/>
            <w:vAlign w:val="center"/>
          </w:tcPr>
          <w:p>
            <w:pPr>
              <w:pStyle w:val="Body"/>
              <w:spacing w:after="60" w:before="40"/>
              <w:jc w:val="left"/>
            </w:pPr>
            <w:r>
              <w:rPr>
                <w:sz w:val="16"/>
              </w:rPr>
              <w:t>Cycle time; overdue-review reduction</w:t>
            </w:r>
          </w:p>
        </w:tc>
      </w:tr>
      <w:tr>
        <w:tc>
          <w:tcPr>
            <w:tcW w:type="dxa" w:w="1800"/>
            <w:vAlign w:val="center"/>
          </w:tcPr>
          <w:p>
            <w:pPr>
              <w:pStyle w:val="Body"/>
              <w:spacing w:after="60" w:before="40"/>
              <w:jc w:val="left"/>
            </w:pPr>
            <w:r>
              <w:rPr>
                <w:sz w:val="16"/>
              </w:rPr>
              <w:t>Meeting pack and action sync</w:t>
            </w:r>
          </w:p>
        </w:tc>
        <w:tc>
          <w:tcPr>
            <w:tcW w:type="dxa" w:w="1512"/>
            <w:vAlign w:val="center"/>
          </w:tcPr>
          <w:p>
            <w:pPr>
              <w:pStyle w:val="Body"/>
              <w:spacing w:after="60" w:before="40"/>
              <w:jc w:val="left"/>
            </w:pPr>
            <w:r>
              <w:rPr>
                <w:sz w:val="16"/>
              </w:rPr>
              <w:t>Scheduled meeting or recurring cadence</w:t>
            </w:r>
          </w:p>
        </w:tc>
        <w:tc>
          <w:tcPr>
            <w:tcW w:type="dxa" w:w="2088"/>
            <w:vAlign w:val="center"/>
          </w:tcPr>
          <w:p>
            <w:pPr>
              <w:pStyle w:val="Body"/>
              <w:spacing w:after="60" w:before="40"/>
              <w:jc w:val="left"/>
            </w:pPr>
            <w:r>
              <w:rPr>
                <w:sz w:val="16"/>
              </w:rPr>
              <w:t>Meeting/reporting analyst + action tracker</w:t>
            </w:r>
          </w:p>
        </w:tc>
        <w:tc>
          <w:tcPr>
            <w:tcW w:type="dxa" w:w="2592"/>
            <w:vAlign w:val="center"/>
          </w:tcPr>
          <w:p>
            <w:pPr>
              <w:pStyle w:val="Body"/>
              <w:spacing w:after="60" w:before="40"/>
              <w:jc w:val="left"/>
            </w:pPr>
            <w:r>
              <w:rPr>
                <w:sz w:val="16"/>
              </w:rPr>
              <w:t>Gather open items, draft agenda, compile pack, summarize notes, update action register, chase owners</w:t>
            </w:r>
          </w:p>
        </w:tc>
        <w:tc>
          <w:tcPr>
            <w:tcW w:type="dxa" w:w="1655"/>
            <w:vAlign w:val="center"/>
          </w:tcPr>
          <w:p>
            <w:pPr>
              <w:pStyle w:val="Body"/>
              <w:spacing w:after="60" w:before="40"/>
              <w:jc w:val="left"/>
            </w:pPr>
            <w:r>
              <w:rPr>
                <w:sz w:val="16"/>
              </w:rPr>
              <w:t>External distribution requires approval</w:t>
            </w:r>
          </w:p>
        </w:tc>
        <w:tc>
          <w:tcPr>
            <w:tcW w:type="dxa" w:w="1296"/>
            <w:vAlign w:val="center"/>
          </w:tcPr>
          <w:p>
            <w:pPr>
              <w:pStyle w:val="Body"/>
              <w:spacing w:after="60" w:before="40"/>
              <w:jc w:val="left"/>
            </w:pPr>
            <w:r>
              <w:rPr>
                <w:sz w:val="16"/>
              </w:rPr>
              <w:t>Minutes turnaround; action freshness</w:t>
            </w:r>
          </w:p>
        </w:tc>
      </w:tr>
      <w:tr>
        <w:tc>
          <w:tcPr>
            <w:tcW w:type="dxa" w:w="1800"/>
            <w:vAlign w:val="center"/>
          </w:tcPr>
          <w:p>
            <w:pPr>
              <w:pStyle w:val="Body"/>
              <w:spacing w:after="60" w:before="40"/>
              <w:jc w:val="left"/>
            </w:pPr>
            <w:r>
              <w:rPr>
                <w:sz w:val="16"/>
              </w:rPr>
              <w:t>Daily and weekly reporting</w:t>
            </w:r>
          </w:p>
        </w:tc>
        <w:tc>
          <w:tcPr>
            <w:tcW w:type="dxa" w:w="1512"/>
            <w:vAlign w:val="center"/>
          </w:tcPr>
          <w:p>
            <w:pPr>
              <w:pStyle w:val="Body"/>
              <w:spacing w:after="60" w:before="40"/>
              <w:jc w:val="left"/>
            </w:pPr>
            <w:r>
              <w:rPr>
                <w:sz w:val="16"/>
              </w:rPr>
              <w:t>Daily or weekly cron schedule</w:t>
            </w:r>
          </w:p>
        </w:tc>
        <w:tc>
          <w:tcPr>
            <w:tcW w:type="dxa" w:w="2088"/>
            <w:vAlign w:val="center"/>
          </w:tcPr>
          <w:p>
            <w:pPr>
              <w:pStyle w:val="Body"/>
              <w:spacing w:after="60" w:before="40"/>
              <w:jc w:val="left"/>
            </w:pPr>
            <w:r>
              <w:rPr>
                <w:sz w:val="16"/>
              </w:rPr>
              <w:t>Meeting/reporting analyst</w:t>
            </w:r>
          </w:p>
        </w:tc>
        <w:tc>
          <w:tcPr>
            <w:tcW w:type="dxa" w:w="2592"/>
            <w:vAlign w:val="center"/>
          </w:tcPr>
          <w:p>
            <w:pPr>
              <w:pStyle w:val="Body"/>
              <w:spacing w:after="60" w:before="40"/>
              <w:jc w:val="left"/>
            </w:pPr>
            <w:r>
              <w:rPr>
                <w:sz w:val="16"/>
              </w:rPr>
              <w:t>Aggregate updates, issues, trends, photos/notes, draft report, route for review, publish</w:t>
            </w:r>
          </w:p>
        </w:tc>
        <w:tc>
          <w:tcPr>
            <w:tcW w:type="dxa" w:w="1655"/>
            <w:vAlign w:val="center"/>
          </w:tcPr>
          <w:p>
            <w:pPr>
              <w:pStyle w:val="Body"/>
              <w:spacing w:after="60" w:before="40"/>
              <w:jc w:val="left"/>
            </w:pPr>
            <w:r>
              <w:rPr>
                <w:sz w:val="16"/>
              </w:rPr>
              <w:t>External publication requires approval</w:t>
            </w:r>
          </w:p>
        </w:tc>
        <w:tc>
          <w:tcPr>
            <w:tcW w:type="dxa" w:w="1296"/>
            <w:vAlign w:val="center"/>
          </w:tcPr>
          <w:p>
            <w:pPr>
              <w:pStyle w:val="Body"/>
              <w:spacing w:after="60" w:before="40"/>
              <w:jc w:val="left"/>
            </w:pPr>
            <w:r>
              <w:rPr>
                <w:sz w:val="16"/>
              </w:rPr>
              <w:t>Report turnaround; hours saved</w:t>
            </w:r>
          </w:p>
        </w:tc>
      </w:tr>
      <w:tr>
        <w:tc>
          <w:tcPr>
            <w:tcW w:type="dxa" w:w="1800"/>
            <w:vAlign w:val="center"/>
          </w:tcPr>
          <w:p>
            <w:pPr>
              <w:pStyle w:val="Body"/>
              <w:spacing w:after="60" w:before="40"/>
              <w:jc w:val="left"/>
            </w:pPr>
            <w:r>
              <w:rPr>
                <w:sz w:val="16"/>
              </w:rPr>
              <w:t>Issue and risk watchlist</w:t>
            </w:r>
          </w:p>
        </w:tc>
        <w:tc>
          <w:tcPr>
            <w:tcW w:type="dxa" w:w="1512"/>
            <w:vAlign w:val="center"/>
          </w:tcPr>
          <w:p>
            <w:pPr>
              <w:pStyle w:val="Body"/>
              <w:spacing w:after="60" w:before="40"/>
              <w:jc w:val="left"/>
            </w:pPr>
            <w:r>
              <w:rPr>
                <w:sz w:val="16"/>
              </w:rPr>
              <w:t>New issue, overdue trend, repeated blocker</w:t>
            </w:r>
          </w:p>
        </w:tc>
        <w:tc>
          <w:tcPr>
            <w:tcW w:type="dxa" w:w="2088"/>
            <w:vAlign w:val="center"/>
          </w:tcPr>
          <w:p>
            <w:pPr>
              <w:pStyle w:val="Body"/>
              <w:spacing w:after="60" w:before="40"/>
              <w:jc w:val="left"/>
            </w:pPr>
            <w:r>
              <w:rPr>
                <w:sz w:val="16"/>
              </w:rPr>
              <w:t>Action &amp; risk tracker</w:t>
            </w:r>
          </w:p>
        </w:tc>
        <w:tc>
          <w:tcPr>
            <w:tcW w:type="dxa" w:w="2592"/>
            <w:vAlign w:val="center"/>
          </w:tcPr>
          <w:p>
            <w:pPr>
              <w:pStyle w:val="Body"/>
              <w:spacing w:after="60" w:before="40"/>
              <w:jc w:val="left"/>
            </w:pPr>
            <w:r>
              <w:rPr>
                <w:sz w:val="16"/>
              </w:rPr>
              <w:t>Cluster related signals, update watchlist, recommend escalation, notify PM/leadership</w:t>
            </w:r>
          </w:p>
        </w:tc>
        <w:tc>
          <w:tcPr>
            <w:tcW w:type="dxa" w:w="1655"/>
            <w:vAlign w:val="center"/>
          </w:tcPr>
          <w:p>
            <w:pPr>
              <w:pStyle w:val="Body"/>
              <w:spacing w:after="60" w:before="40"/>
              <w:jc w:val="left"/>
            </w:pPr>
            <w:r>
              <w:rPr>
                <w:sz w:val="16"/>
              </w:rPr>
              <w:t>Escalation messages outside the team require approval</w:t>
            </w:r>
          </w:p>
        </w:tc>
        <w:tc>
          <w:tcPr>
            <w:tcW w:type="dxa" w:w="1296"/>
            <w:vAlign w:val="center"/>
          </w:tcPr>
          <w:p>
            <w:pPr>
              <w:pStyle w:val="Body"/>
              <w:spacing w:after="60" w:before="40"/>
              <w:jc w:val="left"/>
            </w:pPr>
            <w:r>
              <w:rPr>
                <w:sz w:val="16"/>
              </w:rPr>
              <w:t>Emerging risk detection; overdue-item reduction</w:t>
            </w:r>
          </w:p>
        </w:tc>
      </w:tr>
    </w:tbl>
    <w:p/>
    <w:p>
      <w:pPr>
        <w:pStyle w:val="RuhHeading2"/>
        <w:keepNext/>
        <w:spacing w:before="200" w:after="120"/>
      </w:pPr>
      <w:r>
        <w:t>6.1 MVP workflow slice</w:t>
      </w:r>
    </w:p>
    <w:p>
      <w:pPr>
        <w:pStyle w:val="Bullet1"/>
        <w:spacing w:after="60"/>
        <w:ind w:left="288"/>
      </w:pPr>
      <w:r>
        <w:t>Pilot intake and routing on every project from day one because clean task creation is required for all downstream value.</w:t>
      </w:r>
    </w:p>
    <w:p>
      <w:pPr>
        <w:pStyle w:val="Bullet1"/>
        <w:spacing w:after="60"/>
        <w:ind w:left="288"/>
      </w:pPr>
      <w:r>
        <w:t>Make RFI lifecycle and submittal lifecycle the first specialist workflows because they are repetitive, visible, and measurable.</w:t>
      </w:r>
    </w:p>
    <w:p>
      <w:pPr>
        <w:pStyle w:val="Bullet1"/>
        <w:spacing w:after="60"/>
        <w:ind w:left="288"/>
      </w:pPr>
      <w:r>
        <w:t>Add meeting pack and action sync in the pilot because it proves recurring value and closes the loop on follow-through.</w:t>
      </w:r>
    </w:p>
    <w:p>
      <w:pPr>
        <w:pStyle w:val="Bullet1"/>
        <w:spacing w:after="60"/>
        <w:ind w:left="288"/>
      </w:pPr>
      <w:r>
        <w:t>Hold daily/weekly reporting and issue/risk watchlist behind the first round of tuned templates unless a customer already has structured inputs.</w:t>
      </w:r>
    </w:p>
    <w:p>
      <w:pPr>
        <w:pStyle w:val="RuhHeading1"/>
        <w:keepNext/>
        <w:spacing w:before="320" w:after="160"/>
      </w:pPr>
      <w:r>
        <w:t>7. Connector and capability profile</w:t>
      </w:r>
    </w:p>
    <w:p>
      <w:pPr>
        <w:pStyle w:val="Body"/>
        <w:spacing w:after="120" w:before="0" w:line="276" w:lineRule="auto"/>
      </w:pPr>
      <w:r>
        <w:t>The pack declares capability groups first and provider bindings second. This keeps the pack horizontal across contractors while allowing one tenant to bind PMIS capability to Procore and another to Autodesk Construction Cloud.</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2541"/>
        <w:gridCol w:w="2541"/>
        <w:gridCol w:w="2541"/>
        <w:gridCol w:w="2541"/>
      </w:tblGrid>
      <w:tr>
        <w:tc>
          <w:tcPr>
            <w:tcW w:type="dxa" w:w="1800"/>
            <w:vAlign w:val="center"/>
            <w:shd w:fill="DDE8F2" w:val="clear" w:color="auto"/>
          </w:tcPr>
          <w:p>
            <w:pPr>
              <w:pStyle w:val="Body"/>
              <w:jc w:val="center"/>
            </w:pPr>
            <w:r>
              <w:rPr>
                <w:b/>
                <w:sz w:val="16"/>
              </w:rPr>
              <w:t>Capability group</w:t>
            </w:r>
          </w:p>
        </w:tc>
        <w:tc>
          <w:tcPr>
            <w:tcW w:type="dxa" w:w="936"/>
            <w:vAlign w:val="center"/>
            <w:shd w:fill="DDE8F2" w:val="clear" w:color="auto"/>
          </w:tcPr>
          <w:p>
            <w:pPr>
              <w:pStyle w:val="Body"/>
              <w:jc w:val="center"/>
            </w:pPr>
            <w:r>
              <w:rPr>
                <w:b/>
                <w:sz w:val="16"/>
              </w:rPr>
              <w:t>Required?</w:t>
            </w:r>
          </w:p>
        </w:tc>
        <w:tc>
          <w:tcPr>
            <w:tcW w:type="dxa" w:w="2880"/>
            <w:vAlign w:val="center"/>
            <w:shd w:fill="DDE8F2" w:val="clear" w:color="auto"/>
          </w:tcPr>
          <w:p>
            <w:pPr>
              <w:pStyle w:val="Body"/>
              <w:jc w:val="center"/>
            </w:pPr>
            <w:r>
              <w:rPr>
                <w:b/>
                <w:sz w:val="16"/>
              </w:rPr>
              <w:t>Typical providers</w:t>
            </w:r>
          </w:p>
        </w:tc>
        <w:tc>
          <w:tcPr>
            <w:tcW w:type="dxa" w:w="3816"/>
            <w:vAlign w:val="center"/>
            <w:shd w:fill="DDE8F2" w:val="clear" w:color="auto"/>
          </w:tcPr>
          <w:p>
            <w:pPr>
              <w:pStyle w:val="Body"/>
              <w:jc w:val="center"/>
            </w:pPr>
            <w:r>
              <w:rPr>
                <w:b/>
                <w:sz w:val="16"/>
              </w:rPr>
              <w:t>Pack usage</w:t>
            </w:r>
          </w:p>
        </w:tc>
      </w:tr>
      <w:tr>
        <w:tc>
          <w:tcPr>
            <w:tcW w:type="dxa" w:w="1800"/>
            <w:vAlign w:val="center"/>
          </w:tcPr>
          <w:p>
            <w:pPr>
              <w:pStyle w:val="Body"/>
              <w:spacing w:after="60" w:before="40"/>
              <w:jc w:val="left"/>
            </w:pPr>
            <w:r>
              <w:rPr>
                <w:sz w:val="16"/>
              </w:rPr>
              <w:t>pmis.read</w:t>
            </w:r>
          </w:p>
        </w:tc>
        <w:tc>
          <w:tcPr>
            <w:tcW w:type="dxa" w:w="936"/>
            <w:vAlign w:val="center"/>
          </w:tcPr>
          <w:p>
            <w:pPr>
              <w:pStyle w:val="Body"/>
              <w:spacing w:after="60" w:before="40"/>
              <w:jc w:val="left"/>
            </w:pPr>
            <w:r>
              <w:rPr>
                <w:sz w:val="16"/>
              </w:rPr>
              <w:t>Yes</w:t>
            </w:r>
          </w:p>
        </w:tc>
        <w:tc>
          <w:tcPr>
            <w:tcW w:type="dxa" w:w="2880"/>
            <w:vAlign w:val="center"/>
          </w:tcPr>
          <w:p>
            <w:pPr>
              <w:pStyle w:val="Body"/>
              <w:spacing w:after="60" w:before="40"/>
              <w:jc w:val="left"/>
            </w:pPr>
            <w:r>
              <w:rPr>
                <w:sz w:val="16"/>
              </w:rPr>
              <w:t>Procore; Autodesk ACC; other supported PMIS adapters</w:t>
            </w:r>
          </w:p>
        </w:tc>
        <w:tc>
          <w:tcPr>
            <w:tcW w:type="dxa" w:w="3816"/>
            <w:vAlign w:val="center"/>
          </w:tcPr>
          <w:p>
            <w:pPr>
              <w:pStyle w:val="Body"/>
              <w:spacing w:after="60" w:before="40"/>
              <w:jc w:val="left"/>
            </w:pPr>
            <w:r>
              <w:rPr>
                <w:sz w:val="16"/>
              </w:rPr>
              <w:t>Read RFIs, submittals, status fields, contacts, and issue logs.</w:t>
            </w:r>
          </w:p>
        </w:tc>
      </w:tr>
      <w:tr>
        <w:tc>
          <w:tcPr>
            <w:tcW w:type="dxa" w:w="1800"/>
            <w:vAlign w:val="center"/>
          </w:tcPr>
          <w:p>
            <w:pPr>
              <w:pStyle w:val="Body"/>
              <w:spacing w:after="60" w:before="40"/>
              <w:jc w:val="left"/>
            </w:pPr>
            <w:r>
              <w:rPr>
                <w:sz w:val="16"/>
              </w:rPr>
              <w:t>pmis.write-draft</w:t>
            </w:r>
          </w:p>
        </w:tc>
        <w:tc>
          <w:tcPr>
            <w:tcW w:type="dxa" w:w="936"/>
            <w:vAlign w:val="center"/>
          </w:tcPr>
          <w:p>
            <w:pPr>
              <w:pStyle w:val="Body"/>
              <w:spacing w:after="60" w:before="40"/>
              <w:jc w:val="left"/>
            </w:pPr>
            <w:r>
              <w:rPr>
                <w:sz w:val="16"/>
              </w:rPr>
              <w:t>Yes</w:t>
            </w:r>
          </w:p>
        </w:tc>
        <w:tc>
          <w:tcPr>
            <w:tcW w:type="dxa" w:w="2880"/>
            <w:vAlign w:val="center"/>
          </w:tcPr>
          <w:p>
            <w:pPr>
              <w:pStyle w:val="Body"/>
              <w:spacing w:after="60" w:before="40"/>
              <w:jc w:val="left"/>
            </w:pPr>
            <w:r>
              <w:rPr>
                <w:sz w:val="16"/>
              </w:rPr>
              <w:t>Procore; Autodesk ACC</w:t>
            </w:r>
          </w:p>
        </w:tc>
        <w:tc>
          <w:tcPr>
            <w:tcW w:type="dxa" w:w="3816"/>
            <w:vAlign w:val="center"/>
          </w:tcPr>
          <w:p>
            <w:pPr>
              <w:pStyle w:val="Body"/>
              <w:spacing w:after="60" w:before="40"/>
              <w:jc w:val="left"/>
            </w:pPr>
            <w:r>
              <w:rPr>
                <w:sz w:val="16"/>
              </w:rPr>
              <w:t>Create or update draft records behind approval gates.</w:t>
            </w:r>
          </w:p>
        </w:tc>
      </w:tr>
      <w:tr>
        <w:tc>
          <w:tcPr>
            <w:tcW w:type="dxa" w:w="1800"/>
            <w:vAlign w:val="center"/>
          </w:tcPr>
          <w:p>
            <w:pPr>
              <w:pStyle w:val="Body"/>
              <w:spacing w:after="60" w:before="40"/>
              <w:jc w:val="left"/>
            </w:pPr>
            <w:r>
              <w:rPr>
                <w:sz w:val="16"/>
              </w:rPr>
              <w:t>docs.read</w:t>
            </w:r>
          </w:p>
        </w:tc>
        <w:tc>
          <w:tcPr>
            <w:tcW w:type="dxa" w:w="936"/>
            <w:vAlign w:val="center"/>
          </w:tcPr>
          <w:p>
            <w:pPr>
              <w:pStyle w:val="Body"/>
              <w:spacing w:after="60" w:before="40"/>
              <w:jc w:val="left"/>
            </w:pPr>
            <w:r>
              <w:rPr>
                <w:sz w:val="16"/>
              </w:rPr>
              <w:t>Yes</w:t>
            </w:r>
          </w:p>
        </w:tc>
        <w:tc>
          <w:tcPr>
            <w:tcW w:type="dxa" w:w="2880"/>
            <w:vAlign w:val="center"/>
          </w:tcPr>
          <w:p>
            <w:pPr>
              <w:pStyle w:val="Body"/>
              <w:spacing w:after="60" w:before="40"/>
              <w:jc w:val="left"/>
            </w:pPr>
            <w:r>
              <w:rPr>
                <w:sz w:val="16"/>
              </w:rPr>
              <w:t>SharePoint; OneDrive; Box; Google Drive; PMIS docs</w:t>
            </w:r>
          </w:p>
        </w:tc>
        <w:tc>
          <w:tcPr>
            <w:tcW w:type="dxa" w:w="3816"/>
            <w:vAlign w:val="center"/>
          </w:tcPr>
          <w:p>
            <w:pPr>
              <w:pStyle w:val="Body"/>
              <w:spacing w:after="60" w:before="40"/>
              <w:jc w:val="left"/>
            </w:pPr>
            <w:r>
              <w:rPr>
                <w:sz w:val="16"/>
              </w:rPr>
              <w:t>Resolve drawings, specs, attachments, and meeting source material.</w:t>
            </w:r>
          </w:p>
        </w:tc>
      </w:tr>
      <w:tr>
        <w:tc>
          <w:tcPr>
            <w:tcW w:type="dxa" w:w="1800"/>
            <w:vAlign w:val="center"/>
          </w:tcPr>
          <w:p>
            <w:pPr>
              <w:pStyle w:val="Body"/>
              <w:spacing w:after="60" w:before="40"/>
              <w:jc w:val="left"/>
            </w:pPr>
            <w:r>
              <w:rPr>
                <w:sz w:val="16"/>
              </w:rPr>
              <w:t>docs.metadata.write</w:t>
            </w:r>
          </w:p>
        </w:tc>
        <w:tc>
          <w:tcPr>
            <w:tcW w:type="dxa" w:w="936"/>
            <w:vAlign w:val="center"/>
          </w:tcPr>
          <w:p>
            <w:pPr>
              <w:pStyle w:val="Body"/>
              <w:spacing w:after="60" w:before="40"/>
              <w:jc w:val="left"/>
            </w:pPr>
            <w:r>
              <w:rPr>
                <w:sz w:val="16"/>
              </w:rPr>
              <w:t>Recommended</w:t>
            </w:r>
          </w:p>
        </w:tc>
        <w:tc>
          <w:tcPr>
            <w:tcW w:type="dxa" w:w="2880"/>
            <w:vAlign w:val="center"/>
          </w:tcPr>
          <w:p>
            <w:pPr>
              <w:pStyle w:val="Body"/>
              <w:spacing w:after="60" w:before="40"/>
              <w:jc w:val="left"/>
            </w:pPr>
            <w:r>
              <w:rPr>
                <w:sz w:val="16"/>
              </w:rPr>
              <w:t>SharePoint; Box; internal index</w:t>
            </w:r>
          </w:p>
        </w:tc>
        <w:tc>
          <w:tcPr>
            <w:tcW w:type="dxa" w:w="3816"/>
            <w:vAlign w:val="center"/>
          </w:tcPr>
          <w:p>
            <w:pPr>
              <w:pStyle w:val="Body"/>
              <w:spacing w:after="60" w:before="40"/>
              <w:jc w:val="left"/>
            </w:pPr>
            <w:r>
              <w:rPr>
                <w:sz w:val="16"/>
              </w:rPr>
              <w:t>Tag or index documents and maintain internal source bundles.</w:t>
            </w:r>
          </w:p>
        </w:tc>
      </w:tr>
      <w:tr>
        <w:tc>
          <w:tcPr>
            <w:tcW w:type="dxa" w:w="1800"/>
            <w:vAlign w:val="center"/>
          </w:tcPr>
          <w:p>
            <w:pPr>
              <w:pStyle w:val="Body"/>
              <w:spacing w:after="60" w:before="40"/>
              <w:jc w:val="left"/>
            </w:pPr>
            <w:r>
              <w:rPr>
                <w:sz w:val="16"/>
              </w:rPr>
              <w:t>messaging.read</w:t>
            </w:r>
          </w:p>
        </w:tc>
        <w:tc>
          <w:tcPr>
            <w:tcW w:type="dxa" w:w="936"/>
            <w:vAlign w:val="center"/>
          </w:tcPr>
          <w:p>
            <w:pPr>
              <w:pStyle w:val="Body"/>
              <w:spacing w:after="60" w:before="40"/>
              <w:jc w:val="left"/>
            </w:pPr>
            <w:r>
              <w:rPr>
                <w:sz w:val="16"/>
              </w:rPr>
              <w:t>Yes</w:t>
            </w:r>
          </w:p>
        </w:tc>
        <w:tc>
          <w:tcPr>
            <w:tcW w:type="dxa" w:w="2880"/>
            <w:vAlign w:val="center"/>
          </w:tcPr>
          <w:p>
            <w:pPr>
              <w:pStyle w:val="Body"/>
              <w:spacing w:after="60" w:before="40"/>
              <w:jc w:val="left"/>
            </w:pPr>
            <w:r>
              <w:rPr>
                <w:sz w:val="16"/>
              </w:rPr>
              <w:t>Email; Teams; Slack</w:t>
            </w:r>
          </w:p>
        </w:tc>
        <w:tc>
          <w:tcPr>
            <w:tcW w:type="dxa" w:w="3816"/>
            <w:vAlign w:val="center"/>
          </w:tcPr>
          <w:p>
            <w:pPr>
              <w:pStyle w:val="Body"/>
              <w:spacing w:after="60" w:before="40"/>
              <w:jc w:val="left"/>
            </w:pPr>
            <w:r>
              <w:rPr>
                <w:sz w:val="16"/>
              </w:rPr>
              <w:t>Capture inbound signals and reminders.</w:t>
            </w:r>
          </w:p>
        </w:tc>
      </w:tr>
      <w:tr>
        <w:tc>
          <w:tcPr>
            <w:tcW w:type="dxa" w:w="1800"/>
            <w:vAlign w:val="center"/>
          </w:tcPr>
          <w:p>
            <w:pPr>
              <w:pStyle w:val="Body"/>
              <w:spacing w:after="60" w:before="40"/>
              <w:jc w:val="left"/>
            </w:pPr>
            <w:r>
              <w:rPr>
                <w:sz w:val="16"/>
              </w:rPr>
              <w:t>messaging.draft/notify</w:t>
            </w:r>
          </w:p>
        </w:tc>
        <w:tc>
          <w:tcPr>
            <w:tcW w:type="dxa" w:w="936"/>
            <w:vAlign w:val="center"/>
          </w:tcPr>
          <w:p>
            <w:pPr>
              <w:pStyle w:val="Body"/>
              <w:spacing w:after="60" w:before="40"/>
              <w:jc w:val="left"/>
            </w:pPr>
            <w:r>
              <w:rPr>
                <w:sz w:val="16"/>
              </w:rPr>
              <w:t>Yes</w:t>
            </w:r>
          </w:p>
        </w:tc>
        <w:tc>
          <w:tcPr>
            <w:tcW w:type="dxa" w:w="2880"/>
            <w:vAlign w:val="center"/>
          </w:tcPr>
          <w:p>
            <w:pPr>
              <w:pStyle w:val="Body"/>
              <w:spacing w:after="60" w:before="40"/>
              <w:jc w:val="left"/>
            </w:pPr>
            <w:r>
              <w:rPr>
                <w:sz w:val="16"/>
              </w:rPr>
              <w:t>Email; Teams; Slack</w:t>
            </w:r>
          </w:p>
        </w:tc>
        <w:tc>
          <w:tcPr>
            <w:tcW w:type="dxa" w:w="3816"/>
            <w:vAlign w:val="center"/>
          </w:tcPr>
          <w:p>
            <w:pPr>
              <w:pStyle w:val="Body"/>
              <w:spacing w:after="60" w:before="40"/>
              <w:jc w:val="left"/>
            </w:pPr>
            <w:r>
              <w:rPr>
                <w:sz w:val="16"/>
              </w:rPr>
              <w:t>Prepare drafts and send internal reminders.</w:t>
            </w:r>
          </w:p>
        </w:tc>
      </w:tr>
      <w:tr>
        <w:tc>
          <w:tcPr>
            <w:tcW w:type="dxa" w:w="1800"/>
            <w:vAlign w:val="center"/>
          </w:tcPr>
          <w:p>
            <w:pPr>
              <w:pStyle w:val="Body"/>
              <w:spacing w:after="60" w:before="40"/>
              <w:jc w:val="left"/>
            </w:pPr>
            <w:r>
              <w:rPr>
                <w:sz w:val="16"/>
              </w:rPr>
              <w:t>calendar.read</w:t>
            </w:r>
          </w:p>
        </w:tc>
        <w:tc>
          <w:tcPr>
            <w:tcW w:type="dxa" w:w="936"/>
            <w:vAlign w:val="center"/>
          </w:tcPr>
          <w:p>
            <w:pPr>
              <w:pStyle w:val="Body"/>
              <w:spacing w:after="60" w:before="40"/>
              <w:jc w:val="left"/>
            </w:pPr>
            <w:r>
              <w:rPr>
                <w:sz w:val="16"/>
              </w:rPr>
              <w:t>Recommended</w:t>
            </w:r>
          </w:p>
        </w:tc>
        <w:tc>
          <w:tcPr>
            <w:tcW w:type="dxa" w:w="2880"/>
            <w:vAlign w:val="center"/>
          </w:tcPr>
          <w:p>
            <w:pPr>
              <w:pStyle w:val="Body"/>
              <w:spacing w:after="60" w:before="40"/>
              <w:jc w:val="left"/>
            </w:pPr>
            <w:r>
              <w:rPr>
                <w:sz w:val="16"/>
              </w:rPr>
              <w:t>Outlook; Google Calendar</w:t>
            </w:r>
          </w:p>
        </w:tc>
        <w:tc>
          <w:tcPr>
            <w:tcW w:type="dxa" w:w="3816"/>
            <w:vAlign w:val="center"/>
          </w:tcPr>
          <w:p>
            <w:pPr>
              <w:pStyle w:val="Body"/>
              <w:spacing w:after="60" w:before="40"/>
              <w:jc w:val="left"/>
            </w:pPr>
            <w:r>
              <w:rPr>
                <w:sz w:val="16"/>
              </w:rPr>
              <w:t>Find meeting context and publish meeting-pack timing.</w:t>
            </w:r>
          </w:p>
        </w:tc>
      </w:tr>
      <w:tr>
        <w:tc>
          <w:tcPr>
            <w:tcW w:type="dxa" w:w="1800"/>
            <w:vAlign w:val="center"/>
          </w:tcPr>
          <w:p>
            <w:pPr>
              <w:pStyle w:val="Body"/>
              <w:spacing w:after="60" w:before="40"/>
              <w:jc w:val="left"/>
            </w:pPr>
            <w:r>
              <w:rPr>
                <w:sz w:val="16"/>
              </w:rPr>
              <w:t>schedule.read</w:t>
            </w:r>
          </w:p>
        </w:tc>
        <w:tc>
          <w:tcPr>
            <w:tcW w:type="dxa" w:w="936"/>
            <w:vAlign w:val="center"/>
          </w:tcPr>
          <w:p>
            <w:pPr>
              <w:pStyle w:val="Body"/>
              <w:spacing w:after="60" w:before="40"/>
              <w:jc w:val="left"/>
            </w:pPr>
            <w:r>
              <w:rPr>
                <w:sz w:val="16"/>
              </w:rPr>
              <w:t>Optional</w:t>
            </w:r>
          </w:p>
        </w:tc>
        <w:tc>
          <w:tcPr>
            <w:tcW w:type="dxa" w:w="2880"/>
            <w:vAlign w:val="center"/>
          </w:tcPr>
          <w:p>
            <w:pPr>
              <w:pStyle w:val="Body"/>
              <w:spacing w:after="60" w:before="40"/>
              <w:jc w:val="left"/>
            </w:pPr>
            <w:r>
              <w:rPr>
                <w:sz w:val="16"/>
              </w:rPr>
              <w:t>Primavera P6; Microsoft Project</w:t>
            </w:r>
          </w:p>
        </w:tc>
        <w:tc>
          <w:tcPr>
            <w:tcW w:type="dxa" w:w="3816"/>
            <w:vAlign w:val="center"/>
          </w:tcPr>
          <w:p>
            <w:pPr>
              <w:pStyle w:val="Body"/>
              <w:spacing w:after="60" w:before="40"/>
              <w:jc w:val="left"/>
            </w:pPr>
            <w:r>
              <w:rPr>
                <w:sz w:val="16"/>
              </w:rPr>
              <w:t>Enrich weekly summaries and lookahead notes without making schedule decisions.</w:t>
            </w:r>
          </w:p>
        </w:tc>
      </w:tr>
      <w:tr>
        <w:tc>
          <w:tcPr>
            <w:tcW w:type="dxa" w:w="1800"/>
            <w:vAlign w:val="center"/>
          </w:tcPr>
          <w:p>
            <w:pPr>
              <w:pStyle w:val="Body"/>
              <w:spacing w:after="60" w:before="40"/>
              <w:jc w:val="left"/>
            </w:pPr>
            <w:r>
              <w:rPr>
                <w:sz w:val="16"/>
              </w:rPr>
              <w:t>report.export</w:t>
            </w:r>
          </w:p>
        </w:tc>
        <w:tc>
          <w:tcPr>
            <w:tcW w:type="dxa" w:w="936"/>
            <w:vAlign w:val="center"/>
          </w:tcPr>
          <w:p>
            <w:pPr>
              <w:pStyle w:val="Body"/>
              <w:spacing w:after="60" w:before="40"/>
              <w:jc w:val="left"/>
            </w:pPr>
            <w:r>
              <w:rPr>
                <w:sz w:val="16"/>
              </w:rPr>
              <w:t>Yes</w:t>
            </w:r>
          </w:p>
        </w:tc>
        <w:tc>
          <w:tcPr>
            <w:tcW w:type="dxa" w:w="2880"/>
            <w:vAlign w:val="center"/>
          </w:tcPr>
          <w:p>
            <w:pPr>
              <w:pStyle w:val="Body"/>
              <w:spacing w:after="60" w:before="40"/>
              <w:jc w:val="left"/>
            </w:pPr>
            <w:r>
              <w:rPr>
                <w:sz w:val="16"/>
              </w:rPr>
              <w:t>PDF / DOCX / HTML export service</w:t>
            </w:r>
          </w:p>
        </w:tc>
        <w:tc>
          <w:tcPr>
            <w:tcW w:type="dxa" w:w="3816"/>
            <w:vAlign w:val="center"/>
          </w:tcPr>
          <w:p>
            <w:pPr>
              <w:pStyle w:val="Body"/>
              <w:spacing w:after="60" w:before="40"/>
              <w:jc w:val="left"/>
            </w:pPr>
            <w:r>
              <w:rPr>
                <w:sz w:val="16"/>
              </w:rPr>
              <w:t>Generate meeting packs, summaries, and reusable attachments.</w:t>
            </w:r>
          </w:p>
        </w:tc>
      </w:tr>
    </w:tbl>
    <w:p/>
    <w:p>
      <w:pPr>
        <w:pStyle w:val="RuhHeading2"/>
        <w:keepNext/>
        <w:spacing w:before="200" w:after="120"/>
      </w:pPr>
      <w:r>
        <w:t>7.1 Minimum provider overlays</w:t>
      </w:r>
    </w:p>
    <w:tbl>
      <w:tblPr>
        <w:tblW w:type="auto" w:w="0"/>
        <w:jc w:val="left"/>
        <w:tblLook w:firstColumn="1" w:firstRow="1" w:lastColumn="0" w:lastRow="0" w:noHBand="0" w:noVBand="1" w:val="04A0"/>
        <w:tblBorders>
          <w:top w:val="single" w:sz="4" w:space="0" w:color="C7CDD3"/>
          <w:left w:val="single" w:sz="4" w:space="0" w:color="C7CDD3"/>
          <w:bottom w:val="single" w:sz="4" w:space="0" w:color="C7CDD3"/>
          <w:right w:val="single" w:sz="4" w:space="0" w:color="C7CDD3"/>
          <w:insideH w:val="single" w:sz="4" w:space="0" w:color="C7CDD3"/>
          <w:insideV w:val="single" w:sz="4" w:space="0" w:color="C7CDD3"/>
        </w:tblBorders>
      </w:tblPr>
      <w:tblGrid>
        <w:gridCol w:w="10166"/>
      </w:tblGrid>
      <w:tr>
        <w:tc>
          <w:tcPr>
            <w:tcW w:type="dxa" w:w="9648"/>
            <w:shd w:fill="EFF2F5" w:val="clear" w:color="auto"/>
          </w:tcPr>
          <w:p>
            <w:pPr>
              <w:pStyle w:val="Body"/>
              <w:spacing w:after="0" w:before="0"/>
            </w:pPr>
            <w:r/>
            <w:r>
              <w:rPr>
                <w:rFonts w:ascii="Courier New" w:hAnsi="Courier New"/>
                <w:sz w:val="17"/>
              </w:rPr>
              <w:t>providers:</w:t>
            </w:r>
          </w:p>
          <w:p>
            <w:pPr>
              <w:pStyle w:val="Body"/>
              <w:spacing w:after="0" w:before="0"/>
            </w:pPr>
            <w:r>
              <w:rPr>
                <w:rFonts w:ascii="Courier New" w:hAnsi="Courier New"/>
                <w:sz w:val="17"/>
              </w:rPr>
              <w:t xml:space="preserve">  pmis:</w:t>
            </w:r>
          </w:p>
          <w:p>
            <w:pPr>
              <w:pStyle w:val="Body"/>
              <w:spacing w:after="0" w:before="0"/>
            </w:pPr>
            <w:r>
              <w:rPr>
                <w:rFonts w:ascii="Courier New" w:hAnsi="Courier New"/>
                <w:sz w:val="17"/>
              </w:rPr>
              <w:t xml:space="preserve">    adapter: procore | autodesk-acc</w:t>
            </w:r>
          </w:p>
          <w:p>
            <w:pPr>
              <w:pStyle w:val="Body"/>
              <w:spacing w:after="0" w:before="0"/>
            </w:pPr>
            <w:r>
              <w:rPr>
                <w:rFonts w:ascii="Courier New" w:hAnsi="Courier New"/>
                <w:sz w:val="17"/>
              </w:rPr>
              <w:t xml:space="preserve">  documents:</w:t>
            </w:r>
          </w:p>
          <w:p>
            <w:pPr>
              <w:pStyle w:val="Body"/>
              <w:spacing w:after="0" w:before="0"/>
            </w:pPr>
            <w:r>
              <w:rPr>
                <w:rFonts w:ascii="Courier New" w:hAnsi="Courier New"/>
                <w:sz w:val="17"/>
              </w:rPr>
              <w:t xml:space="preserve">    adapter: sharepoint | onedrive | box | google-drive</w:t>
            </w:r>
          </w:p>
          <w:p>
            <w:pPr>
              <w:pStyle w:val="Body"/>
              <w:spacing w:after="0" w:before="0"/>
            </w:pPr>
            <w:r>
              <w:rPr>
                <w:rFonts w:ascii="Courier New" w:hAnsi="Courier New"/>
                <w:sz w:val="17"/>
              </w:rPr>
              <w:t xml:space="preserve">  messaging:</w:t>
            </w:r>
          </w:p>
          <w:p>
            <w:pPr>
              <w:pStyle w:val="Body"/>
              <w:spacing w:after="0" w:before="0"/>
            </w:pPr>
            <w:r>
              <w:rPr>
                <w:rFonts w:ascii="Courier New" w:hAnsi="Courier New"/>
                <w:sz w:val="17"/>
              </w:rPr>
              <w:t xml:space="preserve">    inbound: email</w:t>
            </w:r>
          </w:p>
          <w:p>
            <w:pPr>
              <w:pStyle w:val="Body"/>
              <w:spacing w:after="0" w:before="0"/>
            </w:pPr>
            <w:r>
              <w:rPr>
                <w:rFonts w:ascii="Courier New" w:hAnsi="Courier New"/>
                <w:sz w:val="17"/>
              </w:rPr>
              <w:t xml:space="preserve">    teamChat: teams | slack</w:t>
            </w:r>
          </w:p>
          <w:p>
            <w:pPr>
              <w:pStyle w:val="Body"/>
              <w:spacing w:after="0" w:before="0"/>
            </w:pPr>
            <w:r>
              <w:rPr>
                <w:rFonts w:ascii="Courier New" w:hAnsi="Courier New"/>
                <w:sz w:val="17"/>
              </w:rPr>
              <w:t xml:space="preserve">  calendar:</w:t>
            </w:r>
          </w:p>
          <w:p>
            <w:pPr>
              <w:pStyle w:val="Body"/>
              <w:spacing w:after="0" w:before="0"/>
            </w:pPr>
            <w:r>
              <w:rPr>
                <w:rFonts w:ascii="Courier New" w:hAnsi="Courier New"/>
                <w:sz w:val="17"/>
              </w:rPr>
              <w:t xml:space="preserve">    adapter: outlook | google</w:t>
            </w:r>
          </w:p>
          <w:p>
            <w:pPr>
              <w:pStyle w:val="Body"/>
              <w:spacing w:after="0" w:before="0"/>
            </w:pPr>
            <w:r>
              <w:rPr>
                <w:rFonts w:ascii="Courier New" w:hAnsi="Courier New"/>
                <w:sz w:val="17"/>
              </w:rPr>
              <w:t>policies:</w:t>
            </w:r>
          </w:p>
          <w:p>
            <w:pPr>
              <w:pStyle w:val="Body"/>
              <w:spacing w:after="0" w:before="0"/>
            </w:pPr>
            <w:r>
              <w:rPr>
                <w:rFonts w:ascii="Courier New" w:hAnsi="Courier New"/>
                <w:sz w:val="17"/>
              </w:rPr>
              <w:t xml:space="preserve">  externalApprovalGroup: project_manager</w:t>
            </w:r>
          </w:p>
          <w:p>
            <w:pPr>
              <w:pStyle w:val="Body"/>
              <w:spacing w:after="0" w:before="0"/>
            </w:pPr>
            <w:r>
              <w:rPr>
                <w:rFonts w:ascii="Courier New" w:hAnsi="Courier New"/>
                <w:sz w:val="17"/>
              </w:rPr>
              <w:t xml:space="preserve">  internalReminderChannels:</w:t>
            </w:r>
          </w:p>
          <w:p>
            <w:pPr>
              <w:pStyle w:val="Body"/>
              <w:spacing w:after="0" w:before="0"/>
            </w:pPr>
            <w:r>
              <w:rPr>
                <w:rFonts w:ascii="Courier New" w:hAnsi="Courier New"/>
                <w:sz w:val="17"/>
              </w:rPr>
              <w:t xml:space="preserve">    - teams:project-ops</w:t>
            </w:r>
          </w:p>
        </w:tc>
      </w:tr>
    </w:tbl>
    <w:p/>
    <w:p>
      <w:pPr>
        <w:pStyle w:val="RuhHeading1"/>
        <w:keepNext/>
        <w:spacing w:before="320" w:after="160"/>
      </w:pPr>
      <w:r>
        <w:t>8. Policy, approval, and safety model</w:t>
      </w:r>
    </w:p>
    <w:p>
      <w:pPr>
        <w:pStyle w:val="Body"/>
        <w:spacing w:after="120" w:before="0" w:line="276" w:lineRule="auto"/>
      </w:pPr>
      <w:r>
        <w:t>Construction workflows look routine until an automation touches an official record or sends something that changes project obligations. The default policy profile therefore separates low-risk internal work from material external actions.</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3389"/>
        <w:gridCol w:w="3389"/>
        <w:gridCol w:w="3389"/>
      </w:tblGrid>
      <w:tr>
        <w:tc>
          <w:tcPr>
            <w:tcW w:type="dxa" w:w="3671"/>
            <w:vAlign w:val="center"/>
            <w:shd w:fill="DDE8F2" w:val="clear" w:color="auto"/>
          </w:tcPr>
          <w:p>
            <w:pPr>
              <w:pStyle w:val="Body"/>
              <w:jc w:val="center"/>
            </w:pPr>
            <w:r>
              <w:rPr>
                <w:b/>
                <w:sz w:val="17"/>
              </w:rPr>
              <w:t>Representative action</w:t>
            </w:r>
          </w:p>
        </w:tc>
        <w:tc>
          <w:tcPr>
            <w:tcW w:type="dxa" w:w="1728"/>
            <w:vAlign w:val="center"/>
            <w:shd w:fill="DDE8F2" w:val="clear" w:color="auto"/>
          </w:tcPr>
          <w:p>
            <w:pPr>
              <w:pStyle w:val="Body"/>
              <w:jc w:val="center"/>
            </w:pPr>
            <w:r>
              <w:rPr>
                <w:b/>
                <w:sz w:val="17"/>
              </w:rPr>
              <w:t>Default treatment</w:t>
            </w:r>
          </w:p>
        </w:tc>
        <w:tc>
          <w:tcPr>
            <w:tcW w:type="dxa" w:w="3240"/>
            <w:vAlign w:val="center"/>
            <w:shd w:fill="DDE8F2" w:val="clear" w:color="auto"/>
          </w:tcPr>
          <w:p>
            <w:pPr>
              <w:pStyle w:val="Body"/>
              <w:jc w:val="center"/>
            </w:pPr>
            <w:r>
              <w:rPr>
                <w:b/>
                <w:sz w:val="17"/>
              </w:rPr>
              <w:t>Notes</w:t>
            </w:r>
          </w:p>
        </w:tc>
      </w:tr>
      <w:tr>
        <w:tc>
          <w:tcPr>
            <w:tcW w:type="dxa" w:w="3671"/>
            <w:vAlign w:val="center"/>
          </w:tcPr>
          <w:p>
            <w:pPr>
              <w:pStyle w:val="Body"/>
              <w:spacing w:after="60" w:before="40"/>
              <w:jc w:val="left"/>
            </w:pPr>
            <w:r>
              <w:rPr>
                <w:sz w:val="17"/>
              </w:rPr>
              <w:t>Classify an inbound email or chat message</w:t>
            </w:r>
          </w:p>
        </w:tc>
        <w:tc>
          <w:tcPr>
            <w:tcW w:type="dxa" w:w="1728"/>
            <w:vAlign w:val="center"/>
          </w:tcPr>
          <w:p>
            <w:pPr>
              <w:pStyle w:val="Body"/>
              <w:spacing w:after="60" w:before="40"/>
              <w:jc w:val="left"/>
            </w:pPr>
            <w:r>
              <w:rPr>
                <w:sz w:val="17"/>
              </w:rPr>
              <w:t>Auto</w:t>
            </w:r>
          </w:p>
        </w:tc>
        <w:tc>
          <w:tcPr>
            <w:tcW w:type="dxa" w:w="3240"/>
            <w:vAlign w:val="center"/>
          </w:tcPr>
          <w:p>
            <w:pPr>
              <w:pStyle w:val="Body"/>
              <w:spacing w:after="60" w:before="40"/>
              <w:jc w:val="left"/>
            </w:pPr>
            <w:r>
              <w:rPr>
                <w:sz w:val="17"/>
              </w:rPr>
              <w:t>Internal read-only action; always logged.</w:t>
            </w:r>
          </w:p>
        </w:tc>
      </w:tr>
      <w:tr>
        <w:tc>
          <w:tcPr>
            <w:tcW w:type="dxa" w:w="3671"/>
            <w:vAlign w:val="center"/>
          </w:tcPr>
          <w:p>
            <w:pPr>
              <w:pStyle w:val="Body"/>
              <w:spacing w:after="60" w:before="40"/>
              <w:jc w:val="left"/>
            </w:pPr>
            <w:r>
              <w:rPr>
                <w:sz w:val="17"/>
              </w:rPr>
              <w:t>Create an internal task record in Ruh.ai</w:t>
            </w:r>
          </w:p>
        </w:tc>
        <w:tc>
          <w:tcPr>
            <w:tcW w:type="dxa" w:w="1728"/>
            <w:vAlign w:val="center"/>
          </w:tcPr>
          <w:p>
            <w:pPr>
              <w:pStyle w:val="Body"/>
              <w:spacing w:after="60" w:before="40"/>
              <w:jc w:val="left"/>
            </w:pPr>
            <w:r>
              <w:rPr>
                <w:sz w:val="17"/>
              </w:rPr>
              <w:t>Auto</w:t>
            </w:r>
          </w:p>
        </w:tc>
        <w:tc>
          <w:tcPr>
            <w:tcW w:type="dxa" w:w="3240"/>
            <w:vAlign w:val="center"/>
          </w:tcPr>
          <w:p>
            <w:pPr>
              <w:pStyle w:val="Body"/>
              <w:spacing w:after="60" w:before="40"/>
              <w:jc w:val="left"/>
            </w:pPr>
            <w:r>
              <w:rPr>
                <w:sz w:val="17"/>
              </w:rPr>
              <w:t>Reversible and internal.</w:t>
            </w:r>
          </w:p>
        </w:tc>
      </w:tr>
      <w:tr>
        <w:tc>
          <w:tcPr>
            <w:tcW w:type="dxa" w:w="3671"/>
            <w:vAlign w:val="center"/>
          </w:tcPr>
          <w:p>
            <w:pPr>
              <w:pStyle w:val="Body"/>
              <w:spacing w:after="60" w:before="40"/>
              <w:jc w:val="left"/>
            </w:pPr>
            <w:r>
              <w:rPr>
                <w:sz w:val="17"/>
              </w:rPr>
              <w:t>Tag a document or assemble a citation bundle</w:t>
            </w:r>
          </w:p>
        </w:tc>
        <w:tc>
          <w:tcPr>
            <w:tcW w:type="dxa" w:w="1728"/>
            <w:vAlign w:val="center"/>
          </w:tcPr>
          <w:p>
            <w:pPr>
              <w:pStyle w:val="Body"/>
              <w:spacing w:after="60" w:before="40"/>
              <w:jc w:val="left"/>
            </w:pPr>
            <w:r>
              <w:rPr>
                <w:sz w:val="17"/>
              </w:rPr>
              <w:t>Auto</w:t>
            </w:r>
          </w:p>
        </w:tc>
        <w:tc>
          <w:tcPr>
            <w:tcW w:type="dxa" w:w="3240"/>
            <w:vAlign w:val="center"/>
          </w:tcPr>
          <w:p>
            <w:pPr>
              <w:pStyle w:val="Body"/>
              <w:spacing w:after="60" w:before="40"/>
              <w:jc w:val="left"/>
            </w:pPr>
            <w:r>
              <w:rPr>
                <w:sz w:val="17"/>
              </w:rPr>
              <w:t>Internal metadata operation.</w:t>
            </w:r>
          </w:p>
        </w:tc>
      </w:tr>
      <w:tr>
        <w:tc>
          <w:tcPr>
            <w:tcW w:type="dxa" w:w="3671"/>
            <w:vAlign w:val="center"/>
          </w:tcPr>
          <w:p>
            <w:pPr>
              <w:pStyle w:val="Body"/>
              <w:spacing w:after="60" w:before="40"/>
              <w:jc w:val="left"/>
            </w:pPr>
            <w:r>
              <w:rPr>
                <w:sz w:val="17"/>
              </w:rPr>
              <w:t>Draft an RFI, submittal return memo, or meeting minutes</w:t>
            </w:r>
          </w:p>
        </w:tc>
        <w:tc>
          <w:tcPr>
            <w:tcW w:type="dxa" w:w="1728"/>
            <w:vAlign w:val="center"/>
          </w:tcPr>
          <w:p>
            <w:pPr>
              <w:pStyle w:val="Body"/>
              <w:spacing w:after="60" w:before="40"/>
              <w:jc w:val="left"/>
            </w:pPr>
            <w:r>
              <w:rPr>
                <w:sz w:val="17"/>
              </w:rPr>
              <w:t>Auto draft</w:t>
            </w:r>
          </w:p>
        </w:tc>
        <w:tc>
          <w:tcPr>
            <w:tcW w:type="dxa" w:w="3240"/>
            <w:vAlign w:val="center"/>
          </w:tcPr>
          <w:p>
            <w:pPr>
              <w:pStyle w:val="Body"/>
              <w:spacing w:after="60" w:before="40"/>
              <w:jc w:val="left"/>
            </w:pPr>
            <w:r>
              <w:rPr>
                <w:sz w:val="17"/>
              </w:rPr>
              <w:t>Artifact produced internally first; no transmission.</w:t>
            </w:r>
          </w:p>
        </w:tc>
      </w:tr>
      <w:tr>
        <w:tc>
          <w:tcPr>
            <w:tcW w:type="dxa" w:w="3671"/>
            <w:vAlign w:val="center"/>
          </w:tcPr>
          <w:p>
            <w:pPr>
              <w:pStyle w:val="Body"/>
              <w:spacing w:after="60" w:before="40"/>
              <w:jc w:val="left"/>
            </w:pPr>
            <w:r>
              <w:rPr>
                <w:sz w:val="17"/>
              </w:rPr>
              <w:t>Create an official RFI or submittal record in PMIS</w:t>
            </w:r>
          </w:p>
        </w:tc>
        <w:tc>
          <w:tcPr>
            <w:tcW w:type="dxa" w:w="1728"/>
            <w:vAlign w:val="center"/>
          </w:tcPr>
          <w:p>
            <w:pPr>
              <w:pStyle w:val="Body"/>
              <w:spacing w:after="60" w:before="40"/>
              <w:jc w:val="left"/>
            </w:pPr>
            <w:r>
              <w:rPr>
                <w:sz w:val="17"/>
              </w:rPr>
              <w:t>Approval required</w:t>
            </w:r>
          </w:p>
        </w:tc>
        <w:tc>
          <w:tcPr>
            <w:tcW w:type="dxa" w:w="3240"/>
            <w:vAlign w:val="center"/>
          </w:tcPr>
          <w:p>
            <w:pPr>
              <w:pStyle w:val="Body"/>
              <w:spacing w:after="60" w:before="40"/>
              <w:jc w:val="left"/>
            </w:pPr>
            <w:r>
              <w:rPr>
                <w:sz w:val="17"/>
              </w:rPr>
              <w:t>Human must verify content, recipient, and impact.</w:t>
            </w:r>
          </w:p>
        </w:tc>
      </w:tr>
      <w:tr>
        <w:tc>
          <w:tcPr>
            <w:tcW w:type="dxa" w:w="3671"/>
            <w:vAlign w:val="center"/>
          </w:tcPr>
          <w:p>
            <w:pPr>
              <w:pStyle w:val="Body"/>
              <w:spacing w:after="60" w:before="40"/>
              <w:jc w:val="left"/>
            </w:pPr>
            <w:r>
              <w:rPr>
                <w:sz w:val="17"/>
              </w:rPr>
              <w:t>Send external communication to owner, architect, engineer, or vendor</w:t>
            </w:r>
          </w:p>
        </w:tc>
        <w:tc>
          <w:tcPr>
            <w:tcW w:type="dxa" w:w="1728"/>
            <w:vAlign w:val="center"/>
          </w:tcPr>
          <w:p>
            <w:pPr>
              <w:pStyle w:val="Body"/>
              <w:spacing w:after="60" w:before="40"/>
              <w:jc w:val="left"/>
            </w:pPr>
            <w:r>
              <w:rPr>
                <w:sz w:val="17"/>
              </w:rPr>
              <w:t>Approval required</w:t>
            </w:r>
          </w:p>
        </w:tc>
        <w:tc>
          <w:tcPr>
            <w:tcW w:type="dxa" w:w="3240"/>
            <w:vAlign w:val="center"/>
          </w:tcPr>
          <w:p>
            <w:pPr>
              <w:pStyle w:val="Body"/>
              <w:spacing w:after="60" w:before="40"/>
              <w:jc w:val="left"/>
            </w:pPr>
            <w:r>
              <w:rPr>
                <w:sz w:val="17"/>
              </w:rPr>
              <w:t>Logged with artifact, source citations, and approver.</w:t>
            </w:r>
          </w:p>
        </w:tc>
      </w:tr>
      <w:tr>
        <w:tc>
          <w:tcPr>
            <w:tcW w:type="dxa" w:w="3671"/>
            <w:vAlign w:val="center"/>
          </w:tcPr>
          <w:p>
            <w:pPr>
              <w:pStyle w:val="Body"/>
              <w:spacing w:after="60" w:before="40"/>
              <w:jc w:val="left"/>
            </w:pPr>
            <w:r>
              <w:rPr>
                <w:sz w:val="17"/>
              </w:rPr>
              <w:t>Change schedule dates, cost commitments, or contractual terms</w:t>
            </w:r>
          </w:p>
        </w:tc>
        <w:tc>
          <w:tcPr>
            <w:tcW w:type="dxa" w:w="1728"/>
            <w:vAlign w:val="center"/>
          </w:tcPr>
          <w:p>
            <w:pPr>
              <w:pStyle w:val="Body"/>
              <w:spacing w:after="60" w:before="40"/>
              <w:jc w:val="left"/>
            </w:pPr>
            <w:r>
              <w:rPr>
                <w:sz w:val="17"/>
              </w:rPr>
              <w:t>Human only</w:t>
            </w:r>
          </w:p>
        </w:tc>
        <w:tc>
          <w:tcPr>
            <w:tcW w:type="dxa" w:w="3240"/>
            <w:vAlign w:val="center"/>
          </w:tcPr>
          <w:p>
            <w:pPr>
              <w:pStyle w:val="Body"/>
              <w:spacing w:after="60" w:before="40"/>
              <w:jc w:val="left"/>
            </w:pPr>
            <w:r>
              <w:rPr>
                <w:sz w:val="17"/>
              </w:rPr>
              <w:t>Out of scope for unattended automation.</w:t>
            </w:r>
          </w:p>
        </w:tc>
      </w:tr>
      <w:tr>
        <w:tc>
          <w:tcPr>
            <w:tcW w:type="dxa" w:w="3671"/>
            <w:vAlign w:val="center"/>
          </w:tcPr>
          <w:p>
            <w:pPr>
              <w:pStyle w:val="Body"/>
              <w:spacing w:after="60" w:before="40"/>
              <w:jc w:val="left"/>
            </w:pPr>
            <w:r>
              <w:rPr>
                <w:sz w:val="17"/>
              </w:rPr>
              <w:t>Issue safety or field directives</w:t>
            </w:r>
          </w:p>
        </w:tc>
        <w:tc>
          <w:tcPr>
            <w:tcW w:type="dxa" w:w="1728"/>
            <w:vAlign w:val="center"/>
          </w:tcPr>
          <w:p>
            <w:pPr>
              <w:pStyle w:val="Body"/>
              <w:spacing w:after="60" w:before="40"/>
              <w:jc w:val="left"/>
            </w:pPr>
            <w:r>
              <w:rPr>
                <w:sz w:val="17"/>
              </w:rPr>
              <w:t>Forbidden</w:t>
            </w:r>
          </w:p>
        </w:tc>
        <w:tc>
          <w:tcPr>
            <w:tcW w:type="dxa" w:w="3240"/>
            <w:vAlign w:val="center"/>
          </w:tcPr>
          <w:p>
            <w:pPr>
              <w:pStyle w:val="Body"/>
              <w:spacing w:after="60" w:before="40"/>
              <w:jc w:val="left"/>
            </w:pPr>
            <w:r>
              <w:rPr>
                <w:sz w:val="17"/>
              </w:rPr>
              <w:t>Not allowed in this pack.</w:t>
            </w:r>
          </w:p>
        </w:tc>
      </w:tr>
    </w:tbl>
    <w:p/>
    <w:tbl>
      <w:tblPr>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10166"/>
      </w:tblGrid>
      <w:tr>
        <w:tc>
          <w:tcPr>
            <w:tcW w:type="dxa" w:w="9648"/>
            <w:shd w:fill="F7EDD1" w:val="clear" w:color="auto"/>
            <w:vAlign w:val="center"/>
          </w:tcPr>
          <w:p>
            <w:pPr>
              <w:pStyle w:val="Body"/>
              <w:spacing w:after="80"/>
            </w:pPr>
            <w:r/>
            <w:r>
              <w:rPr>
                <w:b/>
              </w:rPr>
              <w:t>Approval rule design principle</w:t>
            </w:r>
          </w:p>
          <w:p>
            <w:pPr>
              <w:pStyle w:val="Body"/>
              <w:spacing w:after="80"/>
            </w:pPr>
            <w:r>
              <w:t>The pack earns trust by automating assembly, analysis, and follow-through first. It does not earn trust by acting autonomously where the customer's legal, contractual, or physical risk materially increases.</w:t>
            </w:r>
          </w:p>
        </w:tc>
      </w:tr>
    </w:tbl>
    <w:p/>
    <w:p>
      <w:pPr>
        <w:pStyle w:val="RuhHeading1"/>
        <w:keepNext/>
        <w:spacing w:before="320" w:after="160"/>
      </w:pPr>
      <w:r>
        <w:t>9. Canonical artifacts and sample contracts</w:t>
      </w:r>
    </w:p>
    <w:p>
      <w:pPr>
        <w:pStyle w:val="Body"/>
        <w:spacing w:after="120" w:before="0" w:line="276" w:lineRule="auto"/>
      </w:pPr>
      <w:r>
        <w:t>Every workflow must emit structured artifacts that can be stored, reviewed, versioned, and replayed. The pack does not rely on unstructured chat output as the official interface between employees and humans.</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3389"/>
        <w:gridCol w:w="3389"/>
        <w:gridCol w:w="3389"/>
      </w:tblGrid>
      <w:tr>
        <w:tc>
          <w:tcPr>
            <w:tcW w:type="dxa" w:w="2592"/>
            <w:vAlign w:val="center"/>
            <w:shd w:fill="DDE8F2" w:val="clear" w:color="auto"/>
          </w:tcPr>
          <w:p>
            <w:pPr>
              <w:pStyle w:val="Body"/>
              <w:jc w:val="center"/>
            </w:pPr>
            <w:r>
              <w:rPr>
                <w:b/>
                <w:sz w:val="17"/>
              </w:rPr>
              <w:t>Artifact</w:t>
            </w:r>
          </w:p>
        </w:tc>
        <w:tc>
          <w:tcPr>
            <w:tcW w:type="dxa" w:w="2015"/>
            <w:vAlign w:val="center"/>
            <w:shd w:fill="DDE8F2" w:val="clear" w:color="auto"/>
          </w:tcPr>
          <w:p>
            <w:pPr>
              <w:pStyle w:val="Body"/>
              <w:jc w:val="center"/>
            </w:pPr>
            <w:r>
              <w:rPr>
                <w:b/>
                <w:sz w:val="17"/>
              </w:rPr>
              <w:t>Produced by</w:t>
            </w:r>
          </w:p>
        </w:tc>
        <w:tc>
          <w:tcPr>
            <w:tcW w:type="dxa" w:w="4464"/>
            <w:vAlign w:val="center"/>
            <w:shd w:fill="DDE8F2" w:val="clear" w:color="auto"/>
          </w:tcPr>
          <w:p>
            <w:pPr>
              <w:pStyle w:val="Body"/>
              <w:jc w:val="center"/>
            </w:pPr>
            <w:r>
              <w:rPr>
                <w:b/>
                <w:sz w:val="17"/>
              </w:rPr>
              <w:t>Required fields</w:t>
            </w:r>
          </w:p>
        </w:tc>
      </w:tr>
      <w:tr>
        <w:tc>
          <w:tcPr>
            <w:tcW w:type="dxa" w:w="2592"/>
            <w:vAlign w:val="center"/>
          </w:tcPr>
          <w:p>
            <w:pPr>
              <w:pStyle w:val="Body"/>
              <w:spacing w:after="60" w:before="40"/>
              <w:jc w:val="left"/>
            </w:pPr>
            <w:r>
              <w:rPr>
                <w:sz w:val="17"/>
              </w:rPr>
              <w:t>Intake brief</w:t>
            </w:r>
          </w:p>
        </w:tc>
        <w:tc>
          <w:tcPr>
            <w:tcW w:type="dxa" w:w="2015"/>
            <w:vAlign w:val="center"/>
          </w:tcPr>
          <w:p>
            <w:pPr>
              <w:pStyle w:val="Body"/>
              <w:spacing w:after="60" w:before="40"/>
              <w:jc w:val="left"/>
            </w:pPr>
            <w:r>
              <w:rPr>
                <w:sz w:val="17"/>
              </w:rPr>
              <w:t>Intake coordinator</w:t>
            </w:r>
          </w:p>
        </w:tc>
        <w:tc>
          <w:tcPr>
            <w:tcW w:type="dxa" w:w="4464"/>
            <w:vAlign w:val="center"/>
          </w:tcPr>
          <w:p>
            <w:pPr>
              <w:pStyle w:val="Body"/>
              <w:spacing w:after="60" w:before="40"/>
              <w:jc w:val="left"/>
            </w:pPr>
            <w:r>
              <w:rPr>
                <w:sz w:val="17"/>
              </w:rPr>
              <w:t>sourceRefs; proposedProject; signalType; priority; recommendedWorkflow; openQuestions</w:t>
            </w:r>
          </w:p>
        </w:tc>
      </w:tr>
      <w:tr>
        <w:tc>
          <w:tcPr>
            <w:tcW w:type="dxa" w:w="2592"/>
            <w:vAlign w:val="center"/>
          </w:tcPr>
          <w:p>
            <w:pPr>
              <w:pStyle w:val="Body"/>
              <w:spacing w:after="60" w:before="40"/>
              <w:jc w:val="left"/>
            </w:pPr>
            <w:r>
              <w:rPr>
                <w:sz w:val="17"/>
              </w:rPr>
              <w:t>Citation bundle</w:t>
            </w:r>
          </w:p>
        </w:tc>
        <w:tc>
          <w:tcPr>
            <w:tcW w:type="dxa" w:w="2015"/>
            <w:vAlign w:val="center"/>
          </w:tcPr>
          <w:p>
            <w:pPr>
              <w:pStyle w:val="Body"/>
              <w:spacing w:after="60" w:before="40"/>
              <w:jc w:val="left"/>
            </w:pPr>
            <w:r>
              <w:rPr>
                <w:sz w:val="17"/>
              </w:rPr>
              <w:t>Document controller</w:t>
            </w:r>
          </w:p>
        </w:tc>
        <w:tc>
          <w:tcPr>
            <w:tcW w:type="dxa" w:w="4464"/>
            <w:vAlign w:val="center"/>
          </w:tcPr>
          <w:p>
            <w:pPr>
              <w:pStyle w:val="Body"/>
              <w:spacing w:after="60" w:before="40"/>
              <w:jc w:val="left"/>
            </w:pPr>
            <w:r>
              <w:rPr>
                <w:sz w:val="17"/>
              </w:rPr>
              <w:t>documentRefs; revisionRefs; conflicts; missingSources; confidence</w:t>
            </w:r>
          </w:p>
        </w:tc>
      </w:tr>
      <w:tr>
        <w:tc>
          <w:tcPr>
            <w:tcW w:type="dxa" w:w="2592"/>
            <w:vAlign w:val="center"/>
          </w:tcPr>
          <w:p>
            <w:pPr>
              <w:pStyle w:val="Body"/>
              <w:spacing w:after="60" w:before="40"/>
              <w:jc w:val="left"/>
            </w:pPr>
            <w:r>
              <w:rPr>
                <w:sz w:val="17"/>
              </w:rPr>
              <w:t>RFI draft</w:t>
            </w:r>
          </w:p>
        </w:tc>
        <w:tc>
          <w:tcPr>
            <w:tcW w:type="dxa" w:w="2015"/>
            <w:vAlign w:val="center"/>
          </w:tcPr>
          <w:p>
            <w:pPr>
              <w:pStyle w:val="Body"/>
              <w:spacing w:after="60" w:before="40"/>
              <w:jc w:val="left"/>
            </w:pPr>
            <w:r>
              <w:rPr>
                <w:sz w:val="17"/>
              </w:rPr>
              <w:t>RFI coordinator</w:t>
            </w:r>
          </w:p>
        </w:tc>
        <w:tc>
          <w:tcPr>
            <w:tcW w:type="dxa" w:w="4464"/>
            <w:vAlign w:val="center"/>
          </w:tcPr>
          <w:p>
            <w:pPr>
              <w:pStyle w:val="Body"/>
              <w:spacing w:after="60" w:before="40"/>
              <w:jc w:val="left"/>
            </w:pPr>
            <w:r>
              <w:rPr>
                <w:sz w:val="17"/>
              </w:rPr>
              <w:t>subject; question; citedSources; proposedDueDate; impactedAreas; draftRecipients</w:t>
            </w:r>
          </w:p>
        </w:tc>
      </w:tr>
      <w:tr>
        <w:tc>
          <w:tcPr>
            <w:tcW w:type="dxa" w:w="2592"/>
            <w:vAlign w:val="center"/>
          </w:tcPr>
          <w:p>
            <w:pPr>
              <w:pStyle w:val="Body"/>
              <w:spacing w:after="60" w:before="40"/>
              <w:jc w:val="left"/>
            </w:pPr>
            <w:r>
              <w:rPr>
                <w:sz w:val="17"/>
              </w:rPr>
              <w:t>Submittal completeness report</w:t>
            </w:r>
          </w:p>
        </w:tc>
        <w:tc>
          <w:tcPr>
            <w:tcW w:type="dxa" w:w="2015"/>
            <w:vAlign w:val="center"/>
          </w:tcPr>
          <w:p>
            <w:pPr>
              <w:pStyle w:val="Body"/>
              <w:spacing w:after="60" w:before="40"/>
              <w:jc w:val="left"/>
            </w:pPr>
            <w:r>
              <w:rPr>
                <w:sz w:val="17"/>
              </w:rPr>
              <w:t>Submittal coordinator</w:t>
            </w:r>
          </w:p>
        </w:tc>
        <w:tc>
          <w:tcPr>
            <w:tcW w:type="dxa" w:w="4464"/>
            <w:vAlign w:val="center"/>
          </w:tcPr>
          <w:p>
            <w:pPr>
              <w:pStyle w:val="Body"/>
              <w:spacing w:after="60" w:before="40"/>
              <w:jc w:val="left"/>
            </w:pPr>
            <w:r>
              <w:rPr>
                <w:sz w:val="17"/>
              </w:rPr>
              <w:t>submittalId; requiredAttachments; missingItems; routingProposal; confidence</w:t>
            </w:r>
          </w:p>
        </w:tc>
      </w:tr>
      <w:tr>
        <w:tc>
          <w:tcPr>
            <w:tcW w:type="dxa" w:w="2592"/>
            <w:vAlign w:val="center"/>
          </w:tcPr>
          <w:p>
            <w:pPr>
              <w:pStyle w:val="Body"/>
              <w:spacing w:after="60" w:before="40"/>
              <w:jc w:val="left"/>
            </w:pPr>
            <w:r>
              <w:rPr>
                <w:sz w:val="17"/>
              </w:rPr>
              <w:t>Meeting pack</w:t>
            </w:r>
          </w:p>
        </w:tc>
        <w:tc>
          <w:tcPr>
            <w:tcW w:type="dxa" w:w="2015"/>
            <w:vAlign w:val="center"/>
          </w:tcPr>
          <w:p>
            <w:pPr>
              <w:pStyle w:val="Body"/>
              <w:spacing w:after="60" w:before="40"/>
              <w:jc w:val="left"/>
            </w:pPr>
            <w:r>
              <w:rPr>
                <w:sz w:val="17"/>
              </w:rPr>
              <w:t>Meeting/reporting analyst</w:t>
            </w:r>
          </w:p>
        </w:tc>
        <w:tc>
          <w:tcPr>
            <w:tcW w:type="dxa" w:w="4464"/>
            <w:vAlign w:val="center"/>
          </w:tcPr>
          <w:p>
            <w:pPr>
              <w:pStyle w:val="Body"/>
              <w:spacing w:after="60" w:before="40"/>
              <w:jc w:val="left"/>
            </w:pPr>
            <w:r>
              <w:rPr>
                <w:sz w:val="17"/>
              </w:rPr>
              <w:t>agenda; openItems; statusSummary; attachedArtifacts; discussionPrompts</w:t>
            </w:r>
          </w:p>
        </w:tc>
      </w:tr>
      <w:tr>
        <w:tc>
          <w:tcPr>
            <w:tcW w:type="dxa" w:w="2592"/>
            <w:vAlign w:val="center"/>
          </w:tcPr>
          <w:p>
            <w:pPr>
              <w:pStyle w:val="Body"/>
              <w:spacing w:after="60" w:before="40"/>
              <w:jc w:val="left"/>
            </w:pPr>
            <w:r>
              <w:rPr>
                <w:sz w:val="17"/>
              </w:rPr>
              <w:t>Action register delta</w:t>
            </w:r>
          </w:p>
        </w:tc>
        <w:tc>
          <w:tcPr>
            <w:tcW w:type="dxa" w:w="2015"/>
            <w:vAlign w:val="center"/>
          </w:tcPr>
          <w:p>
            <w:pPr>
              <w:pStyle w:val="Body"/>
              <w:spacing w:after="60" w:before="40"/>
              <w:jc w:val="left"/>
            </w:pPr>
            <w:r>
              <w:rPr>
                <w:sz w:val="17"/>
              </w:rPr>
              <w:t>Action &amp; risk tracker</w:t>
            </w:r>
          </w:p>
        </w:tc>
        <w:tc>
          <w:tcPr>
            <w:tcW w:type="dxa" w:w="4464"/>
            <w:vAlign w:val="center"/>
          </w:tcPr>
          <w:p>
            <w:pPr>
              <w:pStyle w:val="Body"/>
              <w:spacing w:after="60" w:before="40"/>
              <w:jc w:val="left"/>
            </w:pPr>
            <w:r>
              <w:rPr>
                <w:sz w:val="17"/>
              </w:rPr>
              <w:t>newItems; updates; overdueItems; remindersQueued</w:t>
            </w:r>
          </w:p>
        </w:tc>
      </w:tr>
      <w:tr>
        <w:tc>
          <w:tcPr>
            <w:tcW w:type="dxa" w:w="2592"/>
            <w:vAlign w:val="center"/>
          </w:tcPr>
          <w:p>
            <w:pPr>
              <w:pStyle w:val="Body"/>
              <w:spacing w:after="60" w:before="40"/>
              <w:jc w:val="left"/>
            </w:pPr>
            <w:r>
              <w:rPr>
                <w:sz w:val="17"/>
              </w:rPr>
              <w:t>Weekly executive summary</w:t>
            </w:r>
          </w:p>
        </w:tc>
        <w:tc>
          <w:tcPr>
            <w:tcW w:type="dxa" w:w="2015"/>
            <w:vAlign w:val="center"/>
          </w:tcPr>
          <w:p>
            <w:pPr>
              <w:pStyle w:val="Body"/>
              <w:spacing w:after="60" w:before="40"/>
              <w:jc w:val="left"/>
            </w:pPr>
            <w:r>
              <w:rPr>
                <w:sz w:val="17"/>
              </w:rPr>
              <w:t>Meeting/reporting analyst</w:t>
            </w:r>
          </w:p>
        </w:tc>
        <w:tc>
          <w:tcPr>
            <w:tcW w:type="dxa" w:w="4464"/>
            <w:vAlign w:val="center"/>
          </w:tcPr>
          <w:p>
            <w:pPr>
              <w:pStyle w:val="Body"/>
              <w:spacing w:after="60" w:before="40"/>
              <w:jc w:val="left"/>
            </w:pPr>
            <w:r>
              <w:rPr>
                <w:sz w:val="17"/>
              </w:rPr>
              <w:t>wins; blockers; overdueCounts; trendFlags; escalationNeeds</w:t>
            </w:r>
          </w:p>
        </w:tc>
      </w:tr>
    </w:tbl>
    <w:p/>
    <w:p>
      <w:pPr>
        <w:pStyle w:val="RuhHeading2"/>
        <w:keepNext/>
        <w:spacing w:before="200" w:after="120"/>
      </w:pPr>
      <w:r>
        <w:t>9.1 Sample workflow input</w:t>
      </w:r>
    </w:p>
    <w:tbl>
      <w:tblPr>
        <w:tblW w:type="auto" w:w="0"/>
        <w:jc w:val="left"/>
        <w:tblLook w:firstColumn="1" w:firstRow="1" w:lastColumn="0" w:lastRow="0" w:noHBand="0" w:noVBand="1" w:val="04A0"/>
        <w:tblBorders>
          <w:top w:val="single" w:sz="4" w:space="0" w:color="C7CDD3"/>
          <w:left w:val="single" w:sz="4" w:space="0" w:color="C7CDD3"/>
          <w:bottom w:val="single" w:sz="4" w:space="0" w:color="C7CDD3"/>
          <w:right w:val="single" w:sz="4" w:space="0" w:color="C7CDD3"/>
          <w:insideH w:val="single" w:sz="4" w:space="0" w:color="C7CDD3"/>
          <w:insideV w:val="single" w:sz="4" w:space="0" w:color="C7CDD3"/>
        </w:tblBorders>
      </w:tblPr>
      <w:tblGrid>
        <w:gridCol w:w="10166"/>
      </w:tblGrid>
      <w:tr>
        <w:tc>
          <w:tcPr>
            <w:tcW w:type="dxa" w:w="9648"/>
            <w:shd w:fill="EFF2F5" w:val="clear" w:color="auto"/>
          </w:tcPr>
          <w:p>
            <w:pPr>
              <w:pStyle w:val="Body"/>
              <w:spacing w:after="0" w:before="0"/>
            </w:pPr>
            <w:r/>
            <w:r>
              <w:rPr>
                <w:rFonts w:ascii="Courier New" w:hAnsi="Courier New"/>
                <w:sz w:val="17"/>
              </w:rPr>
              <w:t>task:</w:t>
            </w:r>
          </w:p>
          <w:p>
            <w:pPr>
              <w:pStyle w:val="Body"/>
              <w:spacing w:after="0" w:before="0"/>
            </w:pPr>
            <w:r>
              <w:rPr>
                <w:rFonts w:ascii="Courier New" w:hAnsi="Courier New"/>
                <w:sz w:val="17"/>
              </w:rPr>
              <w:t xml:space="preserve">  type: rfi.prepare</w:t>
            </w:r>
          </w:p>
          <w:p>
            <w:pPr>
              <w:pStyle w:val="Body"/>
              <w:spacing w:after="0" w:before="0"/>
            </w:pPr>
            <w:r>
              <w:rPr>
                <w:rFonts w:ascii="Courier New" w:hAnsi="Courier New"/>
                <w:sz w:val="17"/>
              </w:rPr>
              <w:t xml:space="preserve">  workspaceRef: project:ACME-Hospital-Tower</w:t>
            </w:r>
          </w:p>
          <w:p>
            <w:pPr>
              <w:pStyle w:val="Body"/>
              <w:spacing w:after="0" w:before="0"/>
            </w:pPr>
            <w:r>
              <w:rPr>
                <w:rFonts w:ascii="Courier New" w:hAnsi="Courier New"/>
                <w:sz w:val="17"/>
              </w:rPr>
              <w:t xml:space="preserve">  sourceRefs:</w:t>
            </w:r>
          </w:p>
          <w:p>
            <w:pPr>
              <w:pStyle w:val="Body"/>
              <w:spacing w:after="0" w:before="0"/>
            </w:pPr>
            <w:r>
              <w:rPr>
                <w:rFonts w:ascii="Courier New" w:hAnsi="Courier New"/>
                <w:sz w:val="17"/>
              </w:rPr>
              <w:t xml:space="preserve">    - email:thread:8931</w:t>
            </w:r>
          </w:p>
          <w:p>
            <w:pPr>
              <w:pStyle w:val="Body"/>
              <w:spacing w:after="0" w:before="0"/>
            </w:pPr>
            <w:r>
              <w:rPr>
                <w:rFonts w:ascii="Courier New" w:hAnsi="Courier New"/>
                <w:sz w:val="17"/>
              </w:rPr>
              <w:t xml:space="preserve">    - docs:drawing:A6.21:rev-4</w:t>
            </w:r>
          </w:p>
          <w:p>
            <w:pPr>
              <w:pStyle w:val="Body"/>
              <w:spacing w:after="0" w:before="0"/>
            </w:pPr>
            <w:r>
              <w:rPr>
                <w:rFonts w:ascii="Courier New" w:hAnsi="Courier New"/>
                <w:sz w:val="17"/>
              </w:rPr>
              <w:t xml:space="preserve">    - docs:spec:09-29-00</w:t>
            </w:r>
          </w:p>
          <w:p>
            <w:pPr>
              <w:pStyle w:val="Body"/>
              <w:spacing w:after="0" w:before="0"/>
            </w:pPr>
            <w:r>
              <w:rPr>
                <w:rFonts w:ascii="Courier New" w:hAnsi="Courier New"/>
                <w:sz w:val="17"/>
              </w:rPr>
              <w:t xml:space="preserve">  requester:</w:t>
            </w:r>
          </w:p>
          <w:p>
            <w:pPr>
              <w:pStyle w:val="Body"/>
              <w:spacing w:after="0" w:before="0"/>
            </w:pPr>
            <w:r>
              <w:rPr>
                <w:rFonts w:ascii="Courier New" w:hAnsi="Courier New"/>
                <w:sz w:val="17"/>
              </w:rPr>
              <w:t xml:space="preserve">    personRef: user:pe-104</w:t>
            </w:r>
          </w:p>
          <w:p>
            <w:pPr>
              <w:pStyle w:val="Body"/>
              <w:spacing w:after="0" w:before="0"/>
            </w:pPr>
            <w:r>
              <w:rPr>
                <w:rFonts w:ascii="Courier New" w:hAnsi="Courier New"/>
                <w:sz w:val="17"/>
              </w:rPr>
              <w:t xml:space="preserve">  requestedDueDate: 2026-04-14</w:t>
            </w:r>
          </w:p>
          <w:p>
            <w:pPr>
              <w:pStyle w:val="Body"/>
              <w:spacing w:after="0" w:before="0"/>
            </w:pPr>
            <w:r>
              <w:rPr>
                <w:rFonts w:ascii="Courier New" w:hAnsi="Courier New"/>
                <w:sz w:val="17"/>
              </w:rPr>
              <w:t xml:space="preserve">  context:</w:t>
            </w:r>
          </w:p>
          <w:p>
            <w:pPr>
              <w:pStyle w:val="Body"/>
              <w:spacing w:after="0" w:before="0"/>
            </w:pPr>
            <w:r>
              <w:rPr>
                <w:rFonts w:ascii="Courier New" w:hAnsi="Courier New"/>
                <w:sz w:val="17"/>
              </w:rPr>
              <w:t xml:space="preserve">    location: "Level 5 west corridor"</w:t>
            </w:r>
          </w:p>
          <w:p>
            <w:pPr>
              <w:pStyle w:val="Body"/>
              <w:spacing w:after="0" w:before="0"/>
            </w:pPr>
            <w:r>
              <w:rPr>
                <w:rFonts w:ascii="Courier New" w:hAnsi="Courier New"/>
                <w:sz w:val="17"/>
              </w:rPr>
              <w:t xml:space="preserve">    discipline: "interiors"</w:t>
            </w:r>
          </w:p>
        </w:tc>
      </w:tr>
    </w:tbl>
    <w:p/>
    <w:p>
      <w:pPr>
        <w:pStyle w:val="RuhHeading2"/>
        <w:keepNext/>
        <w:spacing w:before="200" w:after="120"/>
      </w:pPr>
      <w:r>
        <w:t>9.2 Sample RFI draft output</w:t>
      </w:r>
    </w:p>
    <w:tbl>
      <w:tblPr>
        <w:tblW w:type="auto" w:w="0"/>
        <w:jc w:val="left"/>
        <w:tblLook w:firstColumn="1" w:firstRow="1" w:lastColumn="0" w:lastRow="0" w:noHBand="0" w:noVBand="1" w:val="04A0"/>
        <w:tblBorders>
          <w:top w:val="single" w:sz="4" w:space="0" w:color="C7CDD3"/>
          <w:left w:val="single" w:sz="4" w:space="0" w:color="C7CDD3"/>
          <w:bottom w:val="single" w:sz="4" w:space="0" w:color="C7CDD3"/>
          <w:right w:val="single" w:sz="4" w:space="0" w:color="C7CDD3"/>
          <w:insideH w:val="single" w:sz="4" w:space="0" w:color="C7CDD3"/>
          <w:insideV w:val="single" w:sz="4" w:space="0" w:color="C7CDD3"/>
        </w:tblBorders>
      </w:tblPr>
      <w:tblGrid>
        <w:gridCol w:w="10166"/>
      </w:tblGrid>
      <w:tr>
        <w:tc>
          <w:tcPr>
            <w:tcW w:type="dxa" w:w="9648"/>
            <w:shd w:fill="EFF2F5" w:val="clear" w:color="auto"/>
          </w:tcPr>
          <w:p>
            <w:pPr>
              <w:pStyle w:val="Body"/>
              <w:spacing w:after="0" w:before="0"/>
            </w:pPr>
            <w:r/>
            <w:r>
              <w:rPr>
                <w:rFonts w:ascii="Courier New" w:hAnsi="Courier New"/>
                <w:sz w:val="17"/>
              </w:rPr>
              <w:t>artifact:</w:t>
            </w:r>
          </w:p>
          <w:p>
            <w:pPr>
              <w:pStyle w:val="Body"/>
              <w:spacing w:after="0" w:before="0"/>
            </w:pPr>
            <w:r>
              <w:rPr>
                <w:rFonts w:ascii="Courier New" w:hAnsi="Courier New"/>
                <w:sz w:val="17"/>
              </w:rPr>
              <w:t xml:space="preserve">  type: rfi-draft</w:t>
            </w:r>
          </w:p>
          <w:p>
            <w:pPr>
              <w:pStyle w:val="Body"/>
              <w:spacing w:after="0" w:before="0"/>
            </w:pPr>
            <w:r>
              <w:rPr>
                <w:rFonts w:ascii="Courier New" w:hAnsi="Courier New"/>
                <w:sz w:val="17"/>
              </w:rPr>
              <w:t xml:space="preserve">  title: "Clarification requested for corridor soffit height at Level 5 west corridor"</w:t>
            </w:r>
          </w:p>
          <w:p>
            <w:pPr>
              <w:pStyle w:val="Body"/>
              <w:spacing w:after="0" w:before="0"/>
            </w:pPr>
            <w:r>
              <w:rPr>
                <w:rFonts w:ascii="Courier New" w:hAnsi="Courier New"/>
                <w:sz w:val="17"/>
              </w:rPr>
              <w:t xml:space="preserve">  question: &gt;</w:t>
            </w:r>
          </w:p>
          <w:p>
            <w:pPr>
              <w:pStyle w:val="Body"/>
              <w:spacing w:after="0" w:before="0"/>
            </w:pPr>
            <w:r>
              <w:rPr>
                <w:rFonts w:ascii="Courier New" w:hAnsi="Courier New"/>
                <w:sz w:val="17"/>
              </w:rPr>
              <w:t xml:space="preserve">    Please confirm the required soffit height and detail priority where drawing A6.21 rev 4</w:t>
            </w:r>
          </w:p>
          <w:p>
            <w:pPr>
              <w:pStyle w:val="Body"/>
              <w:spacing w:after="0" w:before="0"/>
            </w:pPr>
            <w:r>
              <w:rPr>
                <w:rFonts w:ascii="Courier New" w:hAnsi="Courier New"/>
                <w:sz w:val="17"/>
              </w:rPr>
              <w:t xml:space="preserve">    and specification section 09 29 00 appear to conflict at the Level 5 west corridor ceiling line.</w:t>
            </w:r>
          </w:p>
          <w:p>
            <w:pPr>
              <w:pStyle w:val="Body"/>
              <w:spacing w:after="0" w:before="0"/>
            </w:pPr>
            <w:r>
              <w:rPr>
                <w:rFonts w:ascii="Courier New" w:hAnsi="Courier New"/>
                <w:sz w:val="17"/>
              </w:rPr>
              <w:t xml:space="preserve">  citedSources:</w:t>
            </w:r>
          </w:p>
          <w:p>
            <w:pPr>
              <w:pStyle w:val="Body"/>
              <w:spacing w:after="0" w:before="0"/>
            </w:pPr>
            <w:r>
              <w:rPr>
                <w:rFonts w:ascii="Courier New" w:hAnsi="Courier New"/>
                <w:sz w:val="17"/>
              </w:rPr>
              <w:t xml:space="preserve">    - docs:drawing:A6.21:rev-4</w:t>
            </w:r>
          </w:p>
          <w:p>
            <w:pPr>
              <w:pStyle w:val="Body"/>
              <w:spacing w:after="0" w:before="0"/>
            </w:pPr>
            <w:r>
              <w:rPr>
                <w:rFonts w:ascii="Courier New" w:hAnsi="Courier New"/>
                <w:sz w:val="17"/>
              </w:rPr>
              <w:t xml:space="preserve">    - docs:spec:09-29-00</w:t>
            </w:r>
          </w:p>
          <w:p>
            <w:pPr>
              <w:pStyle w:val="Body"/>
              <w:spacing w:after="0" w:before="0"/>
            </w:pPr>
            <w:r>
              <w:rPr>
                <w:rFonts w:ascii="Courier New" w:hAnsi="Courier New"/>
                <w:sz w:val="17"/>
              </w:rPr>
              <w:t xml:space="preserve">  relatedRecords:</w:t>
            </w:r>
          </w:p>
          <w:p>
            <w:pPr>
              <w:pStyle w:val="Body"/>
              <w:spacing w:after="0" w:before="0"/>
            </w:pPr>
            <w:r>
              <w:rPr>
                <w:rFonts w:ascii="Courier New" w:hAnsi="Courier New"/>
                <w:sz w:val="17"/>
              </w:rPr>
              <w:t xml:space="preserve">    - pmis:rfi:RFI-042</w:t>
            </w:r>
          </w:p>
          <w:p>
            <w:pPr>
              <w:pStyle w:val="Body"/>
              <w:spacing w:after="0" w:before="0"/>
            </w:pPr>
            <w:r>
              <w:rPr>
                <w:rFonts w:ascii="Courier New" w:hAnsi="Courier New"/>
                <w:sz w:val="17"/>
              </w:rPr>
              <w:t xml:space="preserve">  confidence: 0.91</w:t>
            </w:r>
          </w:p>
          <w:p>
            <w:pPr>
              <w:pStyle w:val="Body"/>
              <w:spacing w:after="0" w:before="0"/>
            </w:pPr>
            <w:r>
              <w:rPr>
                <w:rFonts w:ascii="Courier New" w:hAnsi="Courier New"/>
                <w:sz w:val="17"/>
              </w:rPr>
              <w:t xml:space="preserve">  approvalRequired: true</w:t>
            </w:r>
          </w:p>
        </w:tc>
      </w:tr>
    </w:tbl>
    <w:p/>
    <w:p>
      <w:pPr>
        <w:pStyle w:val="RuhHeading1"/>
        <w:keepNext/>
        <w:spacing w:before="320" w:after="160"/>
      </w:pPr>
      <w:r>
        <w:t>10. Eval suite and release gates</w:t>
      </w:r>
    </w:p>
    <w:p>
      <w:pPr>
        <w:pStyle w:val="Body"/>
        <w:spacing w:after="120" w:before="0" w:line="276" w:lineRule="auto"/>
      </w:pPr>
      <w:r>
        <w:t>Because this pack writes into real project workflows, evaluation is mandatory. The reference pack ships scenario sets that verify both role behavior and policy enforcement before any tenant promotion.</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3389"/>
        <w:gridCol w:w="3389"/>
        <w:gridCol w:w="3389"/>
      </w:tblGrid>
      <w:tr>
        <w:tc>
          <w:tcPr>
            <w:tcW w:type="dxa" w:w="2088"/>
            <w:vAlign w:val="center"/>
            <w:shd w:fill="DDE8F2" w:val="clear" w:color="auto"/>
          </w:tcPr>
          <w:p>
            <w:pPr>
              <w:pStyle w:val="Body"/>
              <w:jc w:val="center"/>
            </w:pPr>
            <w:r>
              <w:rPr>
                <w:b/>
                <w:sz w:val="17"/>
              </w:rPr>
              <w:t>Eval family</w:t>
            </w:r>
          </w:p>
        </w:tc>
        <w:tc>
          <w:tcPr>
            <w:tcW w:type="dxa" w:w="5256"/>
            <w:vAlign w:val="center"/>
            <w:shd w:fill="DDE8F2" w:val="clear" w:color="auto"/>
          </w:tcPr>
          <w:p>
            <w:pPr>
              <w:pStyle w:val="Body"/>
              <w:jc w:val="center"/>
            </w:pPr>
            <w:r>
              <w:rPr>
                <w:b/>
                <w:sz w:val="17"/>
              </w:rPr>
              <w:t>What it checks</w:t>
            </w:r>
          </w:p>
        </w:tc>
        <w:tc>
          <w:tcPr>
            <w:tcW w:type="dxa" w:w="2015"/>
            <w:vAlign w:val="center"/>
            <w:shd w:fill="DDE8F2" w:val="clear" w:color="auto"/>
          </w:tcPr>
          <w:p>
            <w:pPr>
              <w:pStyle w:val="Body"/>
              <w:jc w:val="center"/>
            </w:pPr>
            <w:r>
              <w:rPr>
                <w:b/>
                <w:sz w:val="17"/>
              </w:rPr>
              <w:t>Suggested release threshold</w:t>
            </w:r>
          </w:p>
        </w:tc>
      </w:tr>
      <w:tr>
        <w:tc>
          <w:tcPr>
            <w:tcW w:type="dxa" w:w="2088"/>
            <w:vAlign w:val="center"/>
          </w:tcPr>
          <w:p>
            <w:pPr>
              <w:pStyle w:val="Body"/>
              <w:spacing w:after="60" w:before="40"/>
              <w:jc w:val="left"/>
            </w:pPr>
            <w:r>
              <w:rPr>
                <w:sz w:val="17"/>
              </w:rPr>
              <w:t>Routing evals</w:t>
            </w:r>
          </w:p>
        </w:tc>
        <w:tc>
          <w:tcPr>
            <w:tcW w:type="dxa" w:w="5256"/>
            <w:vAlign w:val="center"/>
          </w:tcPr>
          <w:p>
            <w:pPr>
              <w:pStyle w:val="Body"/>
              <w:spacing w:after="60" w:before="40"/>
              <w:jc w:val="left"/>
            </w:pPr>
            <w:r>
              <w:rPr>
                <w:sz w:val="17"/>
              </w:rPr>
              <w:t>Correct project and workflow classification from messy inbound signals</w:t>
            </w:r>
          </w:p>
        </w:tc>
        <w:tc>
          <w:tcPr>
            <w:tcW w:type="dxa" w:w="2015"/>
            <w:vAlign w:val="center"/>
          </w:tcPr>
          <w:p>
            <w:pPr>
              <w:pStyle w:val="Body"/>
              <w:spacing w:after="60" w:before="40"/>
              <w:jc w:val="left"/>
            </w:pPr>
            <w:r>
              <w:rPr>
                <w:sz w:val="17"/>
              </w:rPr>
              <w:t>&gt;= 0.90 weighted accuracy on reference set</w:t>
            </w:r>
          </w:p>
        </w:tc>
      </w:tr>
      <w:tr>
        <w:tc>
          <w:tcPr>
            <w:tcW w:type="dxa" w:w="2088"/>
            <w:vAlign w:val="center"/>
          </w:tcPr>
          <w:p>
            <w:pPr>
              <w:pStyle w:val="Body"/>
              <w:spacing w:after="60" w:before="40"/>
              <w:jc w:val="left"/>
            </w:pPr>
            <w:r>
              <w:rPr>
                <w:sz w:val="17"/>
              </w:rPr>
              <w:t>Citation and revision evals</w:t>
            </w:r>
          </w:p>
        </w:tc>
        <w:tc>
          <w:tcPr>
            <w:tcW w:type="dxa" w:w="5256"/>
            <w:vAlign w:val="center"/>
          </w:tcPr>
          <w:p>
            <w:pPr>
              <w:pStyle w:val="Body"/>
              <w:spacing w:after="60" w:before="40"/>
              <w:jc w:val="left"/>
            </w:pPr>
            <w:r>
              <w:rPr>
                <w:sz w:val="17"/>
              </w:rPr>
              <w:t>Correct source resolution and stale-document detection</w:t>
            </w:r>
          </w:p>
        </w:tc>
        <w:tc>
          <w:tcPr>
            <w:tcW w:type="dxa" w:w="2015"/>
            <w:vAlign w:val="center"/>
          </w:tcPr>
          <w:p>
            <w:pPr>
              <w:pStyle w:val="Body"/>
              <w:spacing w:after="60" w:before="40"/>
              <w:jc w:val="left"/>
            </w:pPr>
            <w:r>
              <w:rPr>
                <w:sz w:val="17"/>
              </w:rPr>
              <w:t>No critical stale-source misses; &gt;= 0.95 citation completeness</w:t>
            </w:r>
          </w:p>
        </w:tc>
      </w:tr>
      <w:tr>
        <w:tc>
          <w:tcPr>
            <w:tcW w:type="dxa" w:w="2088"/>
            <w:vAlign w:val="center"/>
          </w:tcPr>
          <w:p>
            <w:pPr>
              <w:pStyle w:val="Body"/>
              <w:spacing w:after="60" w:before="40"/>
              <w:jc w:val="left"/>
            </w:pPr>
            <w:r>
              <w:rPr>
                <w:sz w:val="17"/>
              </w:rPr>
              <w:t>RFI draft quality evals</w:t>
            </w:r>
          </w:p>
        </w:tc>
        <w:tc>
          <w:tcPr>
            <w:tcW w:type="dxa" w:w="5256"/>
            <w:vAlign w:val="center"/>
          </w:tcPr>
          <w:p>
            <w:pPr>
              <w:pStyle w:val="Body"/>
              <w:spacing w:after="60" w:before="40"/>
              <w:jc w:val="left"/>
            </w:pPr>
            <w:r>
              <w:rPr>
                <w:sz w:val="17"/>
              </w:rPr>
              <w:t>Clear question framing, duplicate awareness, and required fields</w:t>
            </w:r>
          </w:p>
        </w:tc>
        <w:tc>
          <w:tcPr>
            <w:tcW w:type="dxa" w:w="2015"/>
            <w:vAlign w:val="center"/>
          </w:tcPr>
          <w:p>
            <w:pPr>
              <w:pStyle w:val="Body"/>
              <w:spacing w:after="60" w:before="40"/>
              <w:jc w:val="left"/>
            </w:pPr>
            <w:r>
              <w:rPr>
                <w:sz w:val="17"/>
              </w:rPr>
              <w:t>&gt;= 0.85 reviewer acceptance</w:t>
            </w:r>
          </w:p>
        </w:tc>
      </w:tr>
      <w:tr>
        <w:tc>
          <w:tcPr>
            <w:tcW w:type="dxa" w:w="2088"/>
            <w:vAlign w:val="center"/>
          </w:tcPr>
          <w:p>
            <w:pPr>
              <w:pStyle w:val="Body"/>
              <w:spacing w:after="60" w:before="40"/>
              <w:jc w:val="left"/>
            </w:pPr>
            <w:r>
              <w:rPr>
                <w:sz w:val="17"/>
              </w:rPr>
              <w:t>Submittal completeness evals</w:t>
            </w:r>
          </w:p>
        </w:tc>
        <w:tc>
          <w:tcPr>
            <w:tcW w:type="dxa" w:w="5256"/>
            <w:vAlign w:val="center"/>
          </w:tcPr>
          <w:p>
            <w:pPr>
              <w:pStyle w:val="Body"/>
              <w:spacing w:after="60" w:before="40"/>
              <w:jc w:val="left"/>
            </w:pPr>
            <w:r>
              <w:rPr>
                <w:sz w:val="17"/>
              </w:rPr>
              <w:t>Detection of missing attachments, spec mapping, and routing suggestions</w:t>
            </w:r>
          </w:p>
        </w:tc>
        <w:tc>
          <w:tcPr>
            <w:tcW w:type="dxa" w:w="2015"/>
            <w:vAlign w:val="center"/>
          </w:tcPr>
          <w:p>
            <w:pPr>
              <w:pStyle w:val="Body"/>
              <w:spacing w:after="60" w:before="40"/>
              <w:jc w:val="left"/>
            </w:pPr>
            <w:r>
              <w:rPr>
                <w:sz w:val="17"/>
              </w:rPr>
              <w:t>&gt;= 0.90 precision on missing-item detection</w:t>
            </w:r>
          </w:p>
        </w:tc>
      </w:tr>
      <w:tr>
        <w:tc>
          <w:tcPr>
            <w:tcW w:type="dxa" w:w="2088"/>
            <w:vAlign w:val="center"/>
          </w:tcPr>
          <w:p>
            <w:pPr>
              <w:pStyle w:val="Body"/>
              <w:spacing w:after="60" w:before="40"/>
              <w:jc w:val="left"/>
            </w:pPr>
            <w:r>
              <w:rPr>
                <w:sz w:val="17"/>
              </w:rPr>
              <w:t>Action extraction evals</w:t>
            </w:r>
          </w:p>
        </w:tc>
        <w:tc>
          <w:tcPr>
            <w:tcW w:type="dxa" w:w="5256"/>
            <w:vAlign w:val="center"/>
          </w:tcPr>
          <w:p>
            <w:pPr>
              <w:pStyle w:val="Body"/>
              <w:spacing w:after="60" w:before="40"/>
              <w:jc w:val="left"/>
            </w:pPr>
            <w:r>
              <w:rPr>
                <w:sz w:val="17"/>
              </w:rPr>
              <w:t>Extraction of commitments and due dates from meeting notes</w:t>
            </w:r>
          </w:p>
        </w:tc>
        <w:tc>
          <w:tcPr>
            <w:tcW w:type="dxa" w:w="2015"/>
            <w:vAlign w:val="center"/>
          </w:tcPr>
          <w:p>
            <w:pPr>
              <w:pStyle w:val="Body"/>
              <w:spacing w:after="60" w:before="40"/>
              <w:jc w:val="left"/>
            </w:pPr>
            <w:r>
              <w:rPr>
                <w:sz w:val="17"/>
              </w:rPr>
              <w:t>&gt;= 0.88 F1 on action-item extraction</w:t>
            </w:r>
          </w:p>
        </w:tc>
      </w:tr>
      <w:tr>
        <w:tc>
          <w:tcPr>
            <w:tcW w:type="dxa" w:w="2088"/>
            <w:vAlign w:val="center"/>
          </w:tcPr>
          <w:p>
            <w:pPr>
              <w:pStyle w:val="Body"/>
              <w:spacing w:after="60" w:before="40"/>
              <w:jc w:val="left"/>
            </w:pPr>
            <w:r>
              <w:rPr>
                <w:sz w:val="17"/>
              </w:rPr>
              <w:t>Policy enforcement evals</w:t>
            </w:r>
          </w:p>
        </w:tc>
        <w:tc>
          <w:tcPr>
            <w:tcW w:type="dxa" w:w="5256"/>
            <w:vAlign w:val="center"/>
          </w:tcPr>
          <w:p>
            <w:pPr>
              <w:pStyle w:val="Body"/>
              <w:spacing w:after="60" w:before="40"/>
              <w:jc w:val="left"/>
            </w:pPr>
            <w:r>
              <w:rPr>
                <w:sz w:val="17"/>
              </w:rPr>
              <w:t>Approval prompts, blocked actions, and forbidden-action refusal</w:t>
            </w:r>
          </w:p>
        </w:tc>
        <w:tc>
          <w:tcPr>
            <w:tcW w:type="dxa" w:w="2015"/>
            <w:vAlign w:val="center"/>
          </w:tcPr>
          <w:p>
            <w:pPr>
              <w:pStyle w:val="Body"/>
              <w:spacing w:after="60" w:before="40"/>
              <w:jc w:val="left"/>
            </w:pPr>
            <w:r>
              <w:rPr>
                <w:sz w:val="17"/>
              </w:rPr>
              <w:t>100% pass on high-risk policy tests</w:t>
            </w:r>
          </w:p>
        </w:tc>
      </w:tr>
    </w:tbl>
    <w:p/>
    <w:p>
      <w:pPr>
        <w:pStyle w:val="Bullet1"/>
        <w:spacing w:after="60"/>
        <w:ind w:left="288"/>
      </w:pPr>
      <w:r>
        <w:t>No pack release is promotable if policy tests fail, even when artifact quality is high.</w:t>
      </w:r>
    </w:p>
    <w:p>
      <w:pPr>
        <w:pStyle w:val="Bullet1"/>
        <w:spacing w:after="60"/>
        <w:ind w:left="288"/>
      </w:pPr>
      <w:r>
        <w:t>Tenant promotion requires at least one overlay-specific smoke test against the customer's provider bindings.</w:t>
      </w:r>
    </w:p>
    <w:p>
      <w:pPr>
        <w:pStyle w:val="Bullet1"/>
        <w:spacing w:after="60"/>
        <w:ind w:left="288"/>
      </w:pPr>
      <w:r>
        <w:t>Production incidents must feed new eval cases back into the pack before the next minor release.</w:t>
      </w:r>
    </w:p>
    <w:p>
      <w:pPr>
        <w:pStyle w:val="RuhHeading1"/>
        <w:keepNext/>
        <w:spacing w:before="320" w:after="160"/>
      </w:pPr>
      <w:r>
        <w:t>11. MVP deployment plan for the reference pack</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3389"/>
        <w:gridCol w:w="3389"/>
        <w:gridCol w:w="3389"/>
      </w:tblGrid>
      <w:tr>
        <w:tc>
          <w:tcPr>
            <w:tcW w:type="dxa" w:w="1872"/>
            <w:vAlign w:val="center"/>
            <w:shd w:fill="DDE8F2" w:val="clear" w:color="auto"/>
          </w:tcPr>
          <w:p>
            <w:pPr>
              <w:pStyle w:val="Body"/>
              <w:jc w:val="center"/>
            </w:pPr>
            <w:r>
              <w:rPr>
                <w:b/>
                <w:sz w:val="17"/>
              </w:rPr>
              <w:t>Phase</w:t>
            </w:r>
          </w:p>
        </w:tc>
        <w:tc>
          <w:tcPr>
            <w:tcW w:type="dxa" w:w="4608"/>
            <w:vAlign w:val="center"/>
            <w:shd w:fill="DDE8F2" w:val="clear" w:color="auto"/>
          </w:tcPr>
          <w:p>
            <w:pPr>
              <w:pStyle w:val="Body"/>
              <w:jc w:val="center"/>
            </w:pPr>
            <w:r>
              <w:rPr>
                <w:b/>
                <w:sz w:val="17"/>
              </w:rPr>
              <w:t>What ships</w:t>
            </w:r>
          </w:p>
        </w:tc>
        <w:tc>
          <w:tcPr>
            <w:tcW w:type="dxa" w:w="2880"/>
            <w:vAlign w:val="center"/>
            <w:shd w:fill="DDE8F2" w:val="clear" w:color="auto"/>
          </w:tcPr>
          <w:p>
            <w:pPr>
              <w:pStyle w:val="Body"/>
              <w:jc w:val="center"/>
            </w:pPr>
            <w:r>
              <w:rPr>
                <w:b/>
                <w:sz w:val="17"/>
              </w:rPr>
              <w:t>Definition of success</w:t>
            </w:r>
          </w:p>
        </w:tc>
      </w:tr>
      <w:tr>
        <w:tc>
          <w:tcPr>
            <w:tcW w:type="dxa" w:w="1872"/>
            <w:vAlign w:val="center"/>
          </w:tcPr>
          <w:p>
            <w:pPr>
              <w:pStyle w:val="Body"/>
              <w:spacing w:after="60" w:before="40"/>
              <w:jc w:val="left"/>
            </w:pPr>
            <w:r>
              <w:rPr>
                <w:sz w:val="17"/>
              </w:rPr>
              <w:t>Phase 1 - project foundation</w:t>
            </w:r>
          </w:p>
        </w:tc>
        <w:tc>
          <w:tcPr>
            <w:tcW w:type="dxa" w:w="4608"/>
            <w:vAlign w:val="center"/>
          </w:tcPr>
          <w:p>
            <w:pPr>
              <w:pStyle w:val="Body"/>
              <w:spacing w:after="60" w:before="40"/>
              <w:jc w:val="left"/>
            </w:pPr>
            <w:r>
              <w:rPr>
                <w:sz w:val="17"/>
              </w:rPr>
              <w:t>Tenant overlay, project workspace creation, intake coordinator, document controller, baseline audit logs</w:t>
            </w:r>
          </w:p>
        </w:tc>
        <w:tc>
          <w:tcPr>
            <w:tcW w:type="dxa" w:w="2880"/>
            <w:vAlign w:val="center"/>
          </w:tcPr>
          <w:p>
            <w:pPr>
              <w:pStyle w:val="Body"/>
              <w:spacing w:after="60" w:before="40"/>
              <w:jc w:val="left"/>
            </w:pPr>
            <w:r>
              <w:rPr>
                <w:sz w:val="17"/>
              </w:rPr>
              <w:t>Signals route correctly and document bundles resolve.</w:t>
            </w:r>
          </w:p>
        </w:tc>
      </w:tr>
      <w:tr>
        <w:tc>
          <w:tcPr>
            <w:tcW w:type="dxa" w:w="1872"/>
            <w:vAlign w:val="center"/>
          </w:tcPr>
          <w:p>
            <w:pPr>
              <w:pStyle w:val="Body"/>
              <w:spacing w:after="60" w:before="40"/>
              <w:jc w:val="left"/>
            </w:pPr>
            <w:r>
              <w:rPr>
                <w:sz w:val="17"/>
              </w:rPr>
              <w:t>Phase 2 - specialist workflows</w:t>
            </w:r>
          </w:p>
        </w:tc>
        <w:tc>
          <w:tcPr>
            <w:tcW w:type="dxa" w:w="4608"/>
            <w:vAlign w:val="center"/>
          </w:tcPr>
          <w:p>
            <w:pPr>
              <w:pStyle w:val="Body"/>
              <w:spacing w:after="60" w:before="40"/>
              <w:jc w:val="left"/>
            </w:pPr>
            <w:r>
              <w:rPr>
                <w:sz w:val="17"/>
              </w:rPr>
              <w:t>RFI coordinator, submittal coordinator, PMIS draft write-back, approval UI</w:t>
            </w:r>
          </w:p>
        </w:tc>
        <w:tc>
          <w:tcPr>
            <w:tcW w:type="dxa" w:w="2880"/>
            <w:vAlign w:val="center"/>
          </w:tcPr>
          <w:p>
            <w:pPr>
              <w:pStyle w:val="Body"/>
              <w:spacing w:after="60" w:before="40"/>
              <w:jc w:val="left"/>
            </w:pPr>
            <w:r>
              <w:rPr>
                <w:sz w:val="17"/>
              </w:rPr>
              <w:t>Draft artifacts are used in the team's daily work.</w:t>
            </w:r>
          </w:p>
        </w:tc>
      </w:tr>
      <w:tr>
        <w:tc>
          <w:tcPr>
            <w:tcW w:type="dxa" w:w="1872"/>
            <w:vAlign w:val="center"/>
          </w:tcPr>
          <w:p>
            <w:pPr>
              <w:pStyle w:val="Body"/>
              <w:spacing w:after="60" w:before="40"/>
              <w:jc w:val="left"/>
            </w:pPr>
            <w:r>
              <w:rPr>
                <w:sz w:val="17"/>
              </w:rPr>
              <w:t>Phase 3 - recurring coordination</w:t>
            </w:r>
          </w:p>
        </w:tc>
        <w:tc>
          <w:tcPr>
            <w:tcW w:type="dxa" w:w="4608"/>
            <w:vAlign w:val="center"/>
          </w:tcPr>
          <w:p>
            <w:pPr>
              <w:pStyle w:val="Body"/>
              <w:spacing w:after="60" w:before="40"/>
              <w:jc w:val="left"/>
            </w:pPr>
            <w:r>
              <w:rPr>
                <w:sz w:val="17"/>
              </w:rPr>
              <w:t>Meeting/reporting analyst, action &amp; risk tracker, reminder and report exports</w:t>
            </w:r>
          </w:p>
        </w:tc>
        <w:tc>
          <w:tcPr>
            <w:tcW w:type="dxa" w:w="2880"/>
            <w:vAlign w:val="center"/>
          </w:tcPr>
          <w:p>
            <w:pPr>
              <w:pStyle w:val="Body"/>
              <w:spacing w:after="60" w:before="40"/>
              <w:jc w:val="left"/>
            </w:pPr>
            <w:r>
              <w:rPr>
                <w:sz w:val="17"/>
              </w:rPr>
              <w:t>Recurring meeting and follow-through work measurably shrinks.</w:t>
            </w:r>
          </w:p>
        </w:tc>
      </w:tr>
      <w:tr>
        <w:tc>
          <w:tcPr>
            <w:tcW w:type="dxa" w:w="1872"/>
            <w:vAlign w:val="center"/>
          </w:tcPr>
          <w:p>
            <w:pPr>
              <w:pStyle w:val="Body"/>
              <w:spacing w:after="60" w:before="40"/>
              <w:jc w:val="left"/>
            </w:pPr>
            <w:r>
              <w:rPr>
                <w:sz w:val="17"/>
              </w:rPr>
              <w:t>Phase 4 - portfolio reuse</w:t>
            </w:r>
          </w:p>
        </w:tc>
        <w:tc>
          <w:tcPr>
            <w:tcW w:type="dxa" w:w="4608"/>
            <w:vAlign w:val="center"/>
          </w:tcPr>
          <w:p>
            <w:pPr>
              <w:pStyle w:val="Body"/>
              <w:spacing w:after="60" w:before="40"/>
              <w:jc w:val="left"/>
            </w:pPr>
            <w:r>
              <w:rPr>
                <w:sz w:val="17"/>
              </w:rPr>
              <w:t>Overlay hardening, template tuning, cross-project reporting, release gates for wider rollout</w:t>
            </w:r>
          </w:p>
        </w:tc>
        <w:tc>
          <w:tcPr>
            <w:tcW w:type="dxa" w:w="2880"/>
            <w:vAlign w:val="center"/>
          </w:tcPr>
          <w:p>
            <w:pPr>
              <w:pStyle w:val="Body"/>
              <w:spacing w:after="60" w:before="40"/>
              <w:jc w:val="left"/>
            </w:pPr>
            <w:r>
              <w:rPr>
                <w:sz w:val="17"/>
              </w:rPr>
              <w:t>Customer can onboard additional projects with low incremental setup.</w:t>
            </w:r>
          </w:p>
        </w:tc>
      </w:tr>
    </w:tbl>
    <w:p/>
    <w:tbl>
      <w:tblPr>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10166"/>
      </w:tblGrid>
      <w:tr>
        <w:tc>
          <w:tcPr>
            <w:tcW w:type="dxa" w:w="9648"/>
            <w:shd w:fill="E4F2EB" w:val="clear" w:color="auto"/>
            <w:vAlign w:val="center"/>
          </w:tcPr>
          <w:p>
            <w:pPr>
              <w:pStyle w:val="Body"/>
              <w:spacing w:after="80"/>
            </w:pPr>
            <w:r/>
            <w:r>
              <w:rPr>
                <w:b/>
              </w:rPr>
              <w:t>Pilot success metrics</w:t>
            </w:r>
          </w:p>
          <w:p>
            <w:pPr>
              <w:pStyle w:val="Bullet1"/>
              <w:spacing w:after="40"/>
              <w:ind w:left="216"/>
            </w:pPr>
            <w:r>
              <w:t>Reduction in average time from inbound signal to assigned owner.</w:t>
            </w:r>
          </w:p>
          <w:p>
            <w:pPr>
              <w:pStyle w:val="Bullet1"/>
              <w:spacing w:after="40"/>
              <w:ind w:left="216"/>
            </w:pPr>
            <w:r>
              <w:t>Reduction in RFI draft preparation time and duplicate RFI occurrences.</w:t>
            </w:r>
          </w:p>
          <w:p>
            <w:pPr>
              <w:pStyle w:val="Bullet1"/>
              <w:spacing w:after="40"/>
              <w:ind w:left="216"/>
            </w:pPr>
            <w:r>
              <w:t>Reduction in submittal overdue-review count.</w:t>
            </w:r>
          </w:p>
          <w:p>
            <w:pPr>
              <w:pStyle w:val="Bullet1"/>
              <w:spacing w:after="40"/>
              <w:ind w:left="216"/>
            </w:pPr>
            <w:r>
              <w:t>Reduction in meeting-minutes turnaround time and overdue action items.</w:t>
            </w:r>
          </w:p>
        </w:tc>
      </w:tr>
    </w:tbl>
    <w:p/>
    <w:p>
      <w:pPr>
        <w:pStyle w:val="RuhHeading1"/>
        <w:keepNext/>
        <w:spacing w:before="320" w:after="160"/>
      </w:pPr>
      <w:r>
        <w:t>12. Example manifest and overlay excerpts</w:t>
      </w:r>
    </w:p>
    <w:p>
      <w:pPr>
        <w:pStyle w:val="RuhHeading2"/>
        <w:keepNext/>
        <w:spacing w:before="200" w:after="120"/>
      </w:pPr>
      <w:r>
        <w:t>12.1 Manifest excerpt</w:t>
      </w:r>
    </w:p>
    <w:tbl>
      <w:tblPr>
        <w:tblW w:type="auto" w:w="0"/>
        <w:jc w:val="left"/>
        <w:tblLook w:firstColumn="1" w:firstRow="1" w:lastColumn="0" w:lastRow="0" w:noHBand="0" w:noVBand="1" w:val="04A0"/>
        <w:tblBorders>
          <w:top w:val="single" w:sz="4" w:space="0" w:color="C7CDD3"/>
          <w:left w:val="single" w:sz="4" w:space="0" w:color="C7CDD3"/>
          <w:bottom w:val="single" w:sz="4" w:space="0" w:color="C7CDD3"/>
          <w:right w:val="single" w:sz="4" w:space="0" w:color="C7CDD3"/>
          <w:insideH w:val="single" w:sz="4" w:space="0" w:color="C7CDD3"/>
          <w:insideV w:val="single" w:sz="4" w:space="0" w:color="C7CDD3"/>
        </w:tblBorders>
      </w:tblPr>
      <w:tblGrid>
        <w:gridCol w:w="10166"/>
      </w:tblGrid>
      <w:tr>
        <w:tc>
          <w:tcPr>
            <w:tcW w:type="dxa" w:w="9648"/>
            <w:shd w:fill="EFF2F5" w:val="clear" w:color="auto"/>
          </w:tcPr>
          <w:p>
            <w:pPr>
              <w:pStyle w:val="Body"/>
              <w:spacing w:after="0" w:before="0"/>
            </w:pPr>
            <w:r/>
            <w:r>
              <w:rPr>
                <w:rFonts w:ascii="Courier New" w:hAnsi="Courier New"/>
                <w:sz w:val="17"/>
              </w:rPr>
              <w:t>id: ref.construction.project-ops</w:t>
            </w:r>
          </w:p>
          <w:p>
            <w:pPr>
              <w:pStyle w:val="Body"/>
              <w:spacing w:after="0" w:before="0"/>
            </w:pPr>
            <w:r>
              <w:rPr>
                <w:rFonts w:ascii="Courier New" w:hAnsi="Courier New"/>
                <w:sz w:val="17"/>
              </w:rPr>
              <w:t>version: 1.0.0</w:t>
            </w:r>
          </w:p>
          <w:p>
            <w:pPr>
              <w:pStyle w:val="Body"/>
              <w:spacing w:after="0" w:before="0"/>
            </w:pPr>
            <w:r>
              <w:rPr>
                <w:rFonts w:ascii="Courier New" w:hAnsi="Courier New"/>
                <w:sz w:val="17"/>
              </w:rPr>
              <w:t>packType: industry-reference</w:t>
            </w:r>
          </w:p>
          <w:p>
            <w:pPr>
              <w:pStyle w:val="Body"/>
              <w:spacing w:after="0" w:before="0"/>
            </w:pPr>
            <w:r>
              <w:rPr>
                <w:rFonts w:ascii="Courier New" w:hAnsi="Courier New"/>
                <w:sz w:val="17"/>
              </w:rPr>
              <w:t>dependsOn:</w:t>
            </w:r>
          </w:p>
          <w:p>
            <w:pPr>
              <w:pStyle w:val="Body"/>
              <w:spacing w:after="0" w:before="0"/>
            </w:pPr>
            <w:r>
              <w:rPr>
                <w:rFonts w:ascii="Courier New" w:hAnsi="Courier New"/>
                <w:sz w:val="17"/>
              </w:rPr>
              <w:t xml:space="preserve">  - ruh.foundation.runtime@^1.0</w:t>
            </w:r>
          </w:p>
          <w:p>
            <w:pPr>
              <w:pStyle w:val="Body"/>
              <w:spacing w:after="0" w:before="0"/>
            </w:pPr>
            <w:r>
              <w:rPr>
                <w:rFonts w:ascii="Courier New" w:hAnsi="Courier New"/>
                <w:sz w:val="17"/>
              </w:rPr>
              <w:t xml:space="preserve">  - ruh.foundation.approvals@^1.0</w:t>
            </w:r>
          </w:p>
          <w:p>
            <w:pPr>
              <w:pStyle w:val="Body"/>
              <w:spacing w:after="0" w:before="0"/>
            </w:pPr>
            <w:r>
              <w:rPr>
                <w:rFonts w:ascii="Courier New" w:hAnsi="Courier New"/>
                <w:sz w:val="17"/>
              </w:rPr>
              <w:t xml:space="preserve">  - ruh.foundation.documents@^1.0</w:t>
            </w:r>
          </w:p>
          <w:p>
            <w:pPr>
              <w:pStyle w:val="Body"/>
              <w:spacing w:after="0" w:before="0"/>
            </w:pPr>
            <w:r>
              <w:rPr>
                <w:rFonts w:ascii="Courier New" w:hAnsi="Courier New"/>
                <w:sz w:val="17"/>
              </w:rPr>
              <w:t>exports:</w:t>
            </w:r>
          </w:p>
          <w:p>
            <w:pPr>
              <w:pStyle w:val="Body"/>
              <w:spacing w:after="0" w:before="0"/>
            </w:pPr>
            <w:r>
              <w:rPr>
                <w:rFonts w:ascii="Courier New" w:hAnsi="Courier New"/>
                <w:sz w:val="17"/>
              </w:rPr>
              <w:t xml:space="preserve">  employeeTemplates:</w:t>
            </w:r>
          </w:p>
          <w:p>
            <w:pPr>
              <w:pStyle w:val="Body"/>
              <w:spacing w:after="0" w:before="0"/>
            </w:pPr>
            <w:r>
              <w:rPr>
                <w:rFonts w:ascii="Courier New" w:hAnsi="Courier New"/>
                <w:sz w:val="17"/>
              </w:rPr>
              <w:t xml:space="preserve">    - construction.intake-coordinator.v1</w:t>
            </w:r>
          </w:p>
          <w:p>
            <w:pPr>
              <w:pStyle w:val="Body"/>
              <w:spacing w:after="0" w:before="0"/>
            </w:pPr>
            <w:r>
              <w:rPr>
                <w:rFonts w:ascii="Courier New" w:hAnsi="Courier New"/>
                <w:sz w:val="17"/>
              </w:rPr>
              <w:t xml:space="preserve">    - construction.document-controller.v1</w:t>
            </w:r>
          </w:p>
          <w:p>
            <w:pPr>
              <w:pStyle w:val="Body"/>
              <w:spacing w:after="0" w:before="0"/>
            </w:pPr>
            <w:r>
              <w:rPr>
                <w:rFonts w:ascii="Courier New" w:hAnsi="Courier New"/>
                <w:sz w:val="17"/>
              </w:rPr>
              <w:t xml:space="preserve">    - construction.rfi-coordinator.v1</w:t>
            </w:r>
          </w:p>
          <w:p>
            <w:pPr>
              <w:pStyle w:val="Body"/>
              <w:spacing w:after="0" w:before="0"/>
            </w:pPr>
            <w:r>
              <w:rPr>
                <w:rFonts w:ascii="Courier New" w:hAnsi="Courier New"/>
                <w:sz w:val="17"/>
              </w:rPr>
              <w:t xml:space="preserve">    - construction.submittal-coordinator.v1</w:t>
            </w:r>
          </w:p>
          <w:p>
            <w:pPr>
              <w:pStyle w:val="Body"/>
              <w:spacing w:after="0" w:before="0"/>
            </w:pPr>
            <w:r>
              <w:rPr>
                <w:rFonts w:ascii="Courier New" w:hAnsi="Courier New"/>
                <w:sz w:val="17"/>
              </w:rPr>
              <w:t xml:space="preserve">    - construction.meeting-reporting-analyst.v1</w:t>
            </w:r>
          </w:p>
          <w:p>
            <w:pPr>
              <w:pStyle w:val="Body"/>
              <w:spacing w:after="0" w:before="0"/>
            </w:pPr>
            <w:r>
              <w:rPr>
                <w:rFonts w:ascii="Courier New" w:hAnsi="Courier New"/>
                <w:sz w:val="17"/>
              </w:rPr>
              <w:t xml:space="preserve">    - construction.action-risk-tracker.v1</w:t>
            </w:r>
          </w:p>
          <w:p>
            <w:pPr>
              <w:pStyle w:val="Body"/>
              <w:spacing w:after="0" w:before="0"/>
            </w:pPr>
            <w:r>
              <w:rPr>
                <w:rFonts w:ascii="Courier New" w:hAnsi="Courier New"/>
                <w:sz w:val="17"/>
              </w:rPr>
              <w:t xml:space="preserve">  workflowTemplates:</w:t>
            </w:r>
          </w:p>
          <w:p>
            <w:pPr>
              <w:pStyle w:val="Body"/>
              <w:spacing w:after="0" w:before="0"/>
            </w:pPr>
            <w:r>
              <w:rPr>
                <w:rFonts w:ascii="Courier New" w:hAnsi="Courier New"/>
                <w:sz w:val="17"/>
              </w:rPr>
              <w:t xml:space="preserve">    - construction.correspondence-intake.v1</w:t>
            </w:r>
          </w:p>
          <w:p>
            <w:pPr>
              <w:pStyle w:val="Body"/>
              <w:spacing w:after="0" w:before="0"/>
            </w:pPr>
            <w:r>
              <w:rPr>
                <w:rFonts w:ascii="Courier New" w:hAnsi="Courier New"/>
                <w:sz w:val="17"/>
              </w:rPr>
              <w:t xml:space="preserve">    - construction.rfi-lifecycle.v1</w:t>
            </w:r>
          </w:p>
          <w:p>
            <w:pPr>
              <w:pStyle w:val="Body"/>
              <w:spacing w:after="0" w:before="0"/>
            </w:pPr>
            <w:r>
              <w:rPr>
                <w:rFonts w:ascii="Courier New" w:hAnsi="Courier New"/>
                <w:sz w:val="17"/>
              </w:rPr>
              <w:t xml:space="preserve">    - construction.submittal-lifecycle.v1</w:t>
            </w:r>
          </w:p>
          <w:p>
            <w:pPr>
              <w:pStyle w:val="Body"/>
              <w:spacing w:after="0" w:before="0"/>
            </w:pPr>
            <w:r>
              <w:rPr>
                <w:rFonts w:ascii="Courier New" w:hAnsi="Courier New"/>
                <w:sz w:val="17"/>
              </w:rPr>
              <w:t xml:space="preserve">    - construction.meeting-pack-action-sync.v1</w:t>
            </w:r>
          </w:p>
          <w:p>
            <w:pPr>
              <w:pStyle w:val="Body"/>
              <w:spacing w:after="0" w:before="0"/>
            </w:pPr>
            <w:r>
              <w:rPr>
                <w:rFonts w:ascii="Courier New" w:hAnsi="Courier New"/>
                <w:sz w:val="17"/>
              </w:rPr>
              <w:t xml:space="preserve">    - construction.daily-weekly-reporting.v1</w:t>
            </w:r>
          </w:p>
          <w:p>
            <w:pPr>
              <w:pStyle w:val="Body"/>
              <w:spacing w:after="0" w:before="0"/>
            </w:pPr>
            <w:r>
              <w:rPr>
                <w:rFonts w:ascii="Courier New" w:hAnsi="Courier New"/>
                <w:sz w:val="17"/>
              </w:rPr>
              <w:t xml:space="preserve">    - construction.issue-risk-watchlist.v1</w:t>
            </w:r>
          </w:p>
          <w:p>
            <w:pPr>
              <w:pStyle w:val="Body"/>
              <w:spacing w:after="0" w:before="0"/>
            </w:pPr>
            <w:r>
              <w:rPr>
                <w:rFonts w:ascii="Courier New" w:hAnsi="Courier New"/>
                <w:sz w:val="17"/>
              </w:rPr>
              <w:t>defaultPolicyProfile: construction-project-ops-default</w:t>
            </w:r>
          </w:p>
          <w:p>
            <w:pPr>
              <w:pStyle w:val="Body"/>
              <w:spacing w:after="0" w:before="0"/>
            </w:pPr>
            <w:r>
              <w:rPr>
                <w:rFonts w:ascii="Courier New" w:hAnsi="Courier New"/>
                <w:sz w:val="17"/>
              </w:rPr>
              <w:t>defaultEvalSuite: construction-project-ops-core</w:t>
            </w:r>
          </w:p>
        </w:tc>
      </w:tr>
    </w:tbl>
    <w:p/>
    <w:p>
      <w:pPr>
        <w:pStyle w:val="RuhHeading2"/>
        <w:keepNext/>
        <w:spacing w:before="200" w:after="120"/>
      </w:pPr>
      <w:r>
        <w:t>12.2 Tenant overlay excerpt</w:t>
      </w:r>
    </w:p>
    <w:tbl>
      <w:tblPr>
        <w:tblW w:type="auto" w:w="0"/>
        <w:jc w:val="left"/>
        <w:tblLook w:firstColumn="1" w:firstRow="1" w:lastColumn="0" w:lastRow="0" w:noHBand="0" w:noVBand="1" w:val="04A0"/>
        <w:tblBorders>
          <w:top w:val="single" w:sz="4" w:space="0" w:color="C7CDD3"/>
          <w:left w:val="single" w:sz="4" w:space="0" w:color="C7CDD3"/>
          <w:bottom w:val="single" w:sz="4" w:space="0" w:color="C7CDD3"/>
          <w:right w:val="single" w:sz="4" w:space="0" w:color="C7CDD3"/>
          <w:insideH w:val="single" w:sz="4" w:space="0" w:color="C7CDD3"/>
          <w:insideV w:val="single" w:sz="4" w:space="0" w:color="C7CDD3"/>
        </w:tblBorders>
      </w:tblPr>
      <w:tblGrid>
        <w:gridCol w:w="10166"/>
      </w:tblGrid>
      <w:tr>
        <w:tc>
          <w:tcPr>
            <w:tcW w:type="dxa" w:w="9648"/>
            <w:shd w:fill="EFF2F5" w:val="clear" w:color="auto"/>
          </w:tcPr>
          <w:p>
            <w:pPr>
              <w:pStyle w:val="Body"/>
              <w:spacing w:after="0" w:before="0"/>
            </w:pPr>
            <w:r/>
            <w:r>
              <w:rPr>
                <w:rFonts w:ascii="Courier New" w:hAnsi="Courier New"/>
                <w:sz w:val="17"/>
              </w:rPr>
              <w:t>tenant:</w:t>
            </w:r>
          </w:p>
          <w:p>
            <w:pPr>
              <w:pStyle w:val="Body"/>
              <w:spacing w:after="0" w:before="0"/>
            </w:pPr>
            <w:r>
              <w:rPr>
                <w:rFonts w:ascii="Courier New" w:hAnsi="Courier New"/>
                <w:sz w:val="17"/>
              </w:rPr>
              <w:t xml:space="preserve">  name: "Sample GC"</w:t>
            </w:r>
          </w:p>
          <w:p>
            <w:pPr>
              <w:pStyle w:val="Body"/>
              <w:spacing w:after="0" w:before="0"/>
            </w:pPr>
            <w:r>
              <w:rPr>
                <w:rFonts w:ascii="Courier New" w:hAnsi="Courier New"/>
                <w:sz w:val="17"/>
              </w:rPr>
              <w:t xml:space="preserve">  operatingModel: general-contractor</w:t>
            </w:r>
          </w:p>
          <w:p>
            <w:pPr>
              <w:pStyle w:val="Body"/>
              <w:spacing w:after="0" w:before="0"/>
            </w:pPr>
            <w:r>
              <w:rPr>
                <w:rFonts w:ascii="Courier New" w:hAnsi="Courier New"/>
                <w:sz w:val="17"/>
              </w:rPr>
              <w:t xml:space="preserve">  workspaceMode: per-project</w:t>
            </w:r>
          </w:p>
          <w:p>
            <w:pPr>
              <w:pStyle w:val="Body"/>
              <w:spacing w:after="0" w:before="0"/>
            </w:pPr>
            <w:r>
              <w:rPr>
                <w:rFonts w:ascii="Courier New" w:hAnsi="Courier New"/>
                <w:sz w:val="17"/>
              </w:rPr>
              <w:t>providers:</w:t>
            </w:r>
          </w:p>
          <w:p>
            <w:pPr>
              <w:pStyle w:val="Body"/>
              <w:spacing w:after="0" w:before="0"/>
            </w:pPr>
            <w:r>
              <w:rPr>
                <w:rFonts w:ascii="Courier New" w:hAnsi="Courier New"/>
                <w:sz w:val="17"/>
              </w:rPr>
              <w:t xml:space="preserve">  pmis:</w:t>
            </w:r>
          </w:p>
          <w:p>
            <w:pPr>
              <w:pStyle w:val="Body"/>
              <w:spacing w:after="0" w:before="0"/>
            </w:pPr>
            <w:r>
              <w:rPr>
                <w:rFonts w:ascii="Courier New" w:hAnsi="Courier New"/>
                <w:sz w:val="17"/>
              </w:rPr>
              <w:t xml:space="preserve">    adapter: procore</w:t>
            </w:r>
          </w:p>
          <w:p>
            <w:pPr>
              <w:pStyle w:val="Body"/>
              <w:spacing w:after="0" w:before="0"/>
            </w:pPr>
            <w:r>
              <w:rPr>
                <w:rFonts w:ascii="Courier New" w:hAnsi="Courier New"/>
                <w:sz w:val="17"/>
              </w:rPr>
              <w:t xml:space="preserve">  documents:</w:t>
            </w:r>
          </w:p>
          <w:p>
            <w:pPr>
              <w:pStyle w:val="Body"/>
              <w:spacing w:after="0" w:before="0"/>
            </w:pPr>
            <w:r>
              <w:rPr>
                <w:rFonts w:ascii="Courier New" w:hAnsi="Courier New"/>
                <w:sz w:val="17"/>
              </w:rPr>
              <w:t xml:space="preserve">    adapter: sharepoint</w:t>
            </w:r>
          </w:p>
          <w:p>
            <w:pPr>
              <w:pStyle w:val="Body"/>
              <w:spacing w:after="0" w:before="0"/>
            </w:pPr>
            <w:r>
              <w:rPr>
                <w:rFonts w:ascii="Courier New" w:hAnsi="Courier New"/>
                <w:sz w:val="17"/>
              </w:rPr>
              <w:t xml:space="preserve">  messaging:</w:t>
            </w:r>
          </w:p>
          <w:p>
            <w:pPr>
              <w:pStyle w:val="Body"/>
              <w:spacing w:after="0" w:before="0"/>
            </w:pPr>
            <w:r>
              <w:rPr>
                <w:rFonts w:ascii="Courier New" w:hAnsi="Courier New"/>
                <w:sz w:val="17"/>
              </w:rPr>
              <w:t xml:space="preserve">    inbound: email</w:t>
            </w:r>
          </w:p>
          <w:p>
            <w:pPr>
              <w:pStyle w:val="Body"/>
              <w:spacing w:after="0" w:before="0"/>
            </w:pPr>
            <w:r>
              <w:rPr>
                <w:rFonts w:ascii="Courier New" w:hAnsi="Courier New"/>
                <w:sz w:val="17"/>
              </w:rPr>
              <w:t xml:space="preserve">    teamChat: teams</w:t>
            </w:r>
          </w:p>
          <w:p>
            <w:pPr>
              <w:pStyle w:val="Body"/>
              <w:spacing w:after="0" w:before="0"/>
            </w:pPr>
            <w:r>
              <w:rPr>
                <w:rFonts w:ascii="Courier New" w:hAnsi="Courier New"/>
                <w:sz w:val="17"/>
              </w:rPr>
              <w:t xml:space="preserve">  calendar:</w:t>
            </w:r>
          </w:p>
          <w:p>
            <w:pPr>
              <w:pStyle w:val="Body"/>
              <w:spacing w:after="0" w:before="0"/>
            </w:pPr>
            <w:r>
              <w:rPr>
                <w:rFonts w:ascii="Courier New" w:hAnsi="Courier New"/>
                <w:sz w:val="17"/>
              </w:rPr>
              <w:t xml:space="preserve">    adapter: outlook</w:t>
            </w:r>
          </w:p>
          <w:p>
            <w:pPr>
              <w:pStyle w:val="Body"/>
              <w:spacing w:after="0" w:before="0"/>
            </w:pPr>
            <w:r>
              <w:rPr>
                <w:rFonts w:ascii="Courier New" w:hAnsi="Courier New"/>
                <w:sz w:val="17"/>
              </w:rPr>
              <w:t>policies:</w:t>
            </w:r>
          </w:p>
          <w:p>
            <w:pPr>
              <w:pStyle w:val="Body"/>
              <w:spacing w:after="0" w:before="0"/>
            </w:pPr>
            <w:r>
              <w:rPr>
                <w:rFonts w:ascii="Courier New" w:hAnsi="Courier New"/>
                <w:sz w:val="17"/>
              </w:rPr>
              <w:t xml:space="preserve">  externalApprovalGroup:</w:t>
            </w:r>
          </w:p>
          <w:p>
            <w:pPr>
              <w:pStyle w:val="Body"/>
              <w:spacing w:after="0" w:before="0"/>
            </w:pPr>
            <w:r>
              <w:rPr>
                <w:rFonts w:ascii="Courier New" w:hAnsi="Courier New"/>
                <w:sz w:val="17"/>
              </w:rPr>
              <w:t xml:space="preserve">    - role: project-manager</w:t>
            </w:r>
          </w:p>
          <w:p>
            <w:pPr>
              <w:pStyle w:val="Body"/>
              <w:spacing w:after="0" w:before="0"/>
            </w:pPr>
            <w:r>
              <w:rPr>
                <w:rFonts w:ascii="Courier New" w:hAnsi="Courier New"/>
                <w:sz w:val="17"/>
              </w:rPr>
              <w:t xml:space="preserve">    - role: senior-project-engineer</w:t>
            </w:r>
          </w:p>
          <w:p>
            <w:pPr>
              <w:pStyle w:val="Body"/>
              <w:spacing w:after="0" w:before="0"/>
            </w:pPr>
            <w:r>
              <w:rPr>
                <w:rFonts w:ascii="Courier New" w:hAnsi="Courier New"/>
                <w:sz w:val="17"/>
              </w:rPr>
              <w:t xml:space="preserve">  forbiddenActions:</w:t>
            </w:r>
          </w:p>
          <w:p>
            <w:pPr>
              <w:pStyle w:val="Body"/>
              <w:spacing w:after="0" w:before="0"/>
            </w:pPr>
            <w:r>
              <w:rPr>
                <w:rFonts w:ascii="Courier New" w:hAnsi="Courier New"/>
                <w:sz w:val="17"/>
              </w:rPr>
              <w:t xml:space="preserve">    - schedule.commit</w:t>
            </w:r>
          </w:p>
          <w:p>
            <w:pPr>
              <w:pStyle w:val="Body"/>
              <w:spacing w:after="0" w:before="0"/>
            </w:pPr>
            <w:r>
              <w:rPr>
                <w:rFonts w:ascii="Courier New" w:hAnsi="Courier New"/>
                <w:sz w:val="17"/>
              </w:rPr>
              <w:t xml:space="preserve">    - safety.directive</w:t>
            </w:r>
          </w:p>
          <w:p>
            <w:pPr>
              <w:pStyle w:val="Body"/>
              <w:spacing w:after="0" w:before="0"/>
            </w:pPr>
            <w:r>
              <w:rPr>
                <w:rFonts w:ascii="Courier New" w:hAnsi="Courier New"/>
                <w:sz w:val="17"/>
              </w:rPr>
              <w:t xml:space="preserve">    - contract.term.change</w:t>
            </w:r>
          </w:p>
          <w:p>
            <w:pPr>
              <w:pStyle w:val="Body"/>
              <w:spacing w:after="0" w:before="0"/>
            </w:pPr>
            <w:r>
              <w:rPr>
                <w:rFonts w:ascii="Courier New" w:hAnsi="Courier New"/>
                <w:sz w:val="17"/>
              </w:rPr>
              <w:t>vocabulary:</w:t>
            </w:r>
          </w:p>
          <w:p>
            <w:pPr>
              <w:pStyle w:val="Body"/>
              <w:spacing w:after="0" w:before="0"/>
            </w:pPr>
            <w:r>
              <w:rPr>
                <w:rFonts w:ascii="Courier New" w:hAnsi="Courier New"/>
                <w:sz w:val="17"/>
              </w:rPr>
              <w:t xml:space="preserve">  submittalAlias: "shop drawing package"</w:t>
            </w:r>
          </w:p>
          <w:p>
            <w:pPr>
              <w:pStyle w:val="Body"/>
              <w:spacing w:after="0" w:before="0"/>
            </w:pPr>
            <w:r>
              <w:rPr>
                <w:rFonts w:ascii="Courier New" w:hAnsi="Courier New"/>
                <w:sz w:val="17"/>
              </w:rPr>
              <w:t xml:space="preserve">  actionItemAlias: "follow-up item"</w:t>
            </w:r>
          </w:p>
        </w:tc>
      </w:tr>
    </w:tbl>
    <w:p/>
    <w:p>
      <w:pPr>
        <w:pStyle w:val="RuhHeading1"/>
        <w:keepNext/>
        <w:spacing w:before="320" w:after="160"/>
      </w:pPr>
      <w:r>
        <w:t>Appendix A. Runtime mapping example</w:t>
      </w:r>
    </w:p>
    <w:tbl>
      <w:tblPr>
        <w:tblStyle w:val="TableGrid"/>
        <w:tblW w:type="auto" w:w="0"/>
        <w:jc w:val="left"/>
        <w:tblLook w:firstColumn="1" w:firstRow="1" w:lastColumn="0" w:lastRow="0" w:noHBand="0" w:noVBand="1" w:val="04A0"/>
        <w:tblBorders>
          <w:top w:val="single" w:sz="6" w:space="0" w:color="B7C6D0"/>
          <w:left w:val="single" w:sz="6" w:space="0" w:color="B7C6D0"/>
          <w:bottom w:val="single" w:sz="6" w:space="0" w:color="B7C6D0"/>
          <w:right w:val="single" w:sz="6" w:space="0" w:color="B7C6D0"/>
          <w:insideH w:val="single" w:sz="6" w:space="0" w:color="B7C6D0"/>
          <w:insideV w:val="single" w:sz="6" w:space="0" w:color="B7C6D0"/>
        </w:tblBorders>
      </w:tblPr>
      <w:tblGrid>
        <w:gridCol w:w="2541"/>
        <w:gridCol w:w="2541"/>
        <w:gridCol w:w="2541"/>
        <w:gridCol w:w="2541"/>
      </w:tblGrid>
      <w:tr>
        <w:tc>
          <w:tcPr>
            <w:tcW w:type="dxa" w:w="2448"/>
            <w:vAlign w:val="center"/>
            <w:shd w:fill="DDE8F2" w:val="clear" w:color="auto"/>
          </w:tcPr>
          <w:p>
            <w:pPr>
              <w:pStyle w:val="Body"/>
              <w:jc w:val="center"/>
            </w:pPr>
            <w:r>
              <w:rPr>
                <w:b/>
                <w:sz w:val="16"/>
              </w:rPr>
              <w:t>Exported employee</w:t>
            </w:r>
          </w:p>
        </w:tc>
        <w:tc>
          <w:tcPr>
            <w:tcW w:type="dxa" w:w="2015"/>
            <w:vAlign w:val="center"/>
            <w:shd w:fill="DDE8F2" w:val="clear" w:color="auto"/>
          </w:tcPr>
          <w:p>
            <w:pPr>
              <w:pStyle w:val="Body"/>
              <w:jc w:val="center"/>
            </w:pPr>
            <w:r>
              <w:rPr>
                <w:b/>
                <w:sz w:val="16"/>
              </w:rPr>
              <w:t>Compiled OpenClaw agent id</w:t>
            </w:r>
          </w:p>
        </w:tc>
        <w:tc>
          <w:tcPr>
            <w:tcW w:type="dxa" w:w="3168"/>
            <w:vAlign w:val="center"/>
            <w:shd w:fill="DDE8F2" w:val="clear" w:color="auto"/>
          </w:tcPr>
          <w:p>
            <w:pPr>
              <w:pStyle w:val="Body"/>
              <w:jc w:val="center"/>
            </w:pPr>
            <w:r>
              <w:rPr>
                <w:b/>
                <w:sz w:val="16"/>
              </w:rPr>
              <w:t>Workspace bootstrap files</w:t>
            </w:r>
          </w:p>
        </w:tc>
        <w:tc>
          <w:tcPr>
            <w:tcW w:type="dxa" w:w="2015"/>
            <w:vAlign w:val="center"/>
            <w:shd w:fill="DDE8F2" w:val="clear" w:color="auto"/>
          </w:tcPr>
          <w:p>
            <w:pPr>
              <w:pStyle w:val="Body"/>
              <w:jc w:val="center"/>
            </w:pPr>
            <w:r>
              <w:rPr>
                <w:b/>
                <w:sz w:val="16"/>
              </w:rPr>
              <w:t>Primary skill groups</w:t>
            </w:r>
          </w:p>
        </w:tc>
      </w:tr>
      <w:tr>
        <w:tc>
          <w:tcPr>
            <w:tcW w:type="dxa" w:w="2448"/>
            <w:vAlign w:val="center"/>
          </w:tcPr>
          <w:p>
            <w:pPr>
              <w:pStyle w:val="Body"/>
              <w:spacing w:after="60" w:before="40"/>
              <w:jc w:val="left"/>
            </w:pPr>
            <w:r>
              <w:rPr>
                <w:sz w:val="16"/>
              </w:rPr>
              <w:t>construction.intake-coordinator.v1</w:t>
            </w:r>
          </w:p>
        </w:tc>
        <w:tc>
          <w:tcPr>
            <w:tcW w:type="dxa" w:w="2015"/>
            <w:vAlign w:val="center"/>
          </w:tcPr>
          <w:p>
            <w:pPr>
              <w:pStyle w:val="Body"/>
              <w:spacing w:after="60" w:before="40"/>
              <w:jc w:val="left"/>
            </w:pPr>
            <w:r>
              <w:rPr>
                <w:sz w:val="16"/>
              </w:rPr>
              <w:t>proj-&lt;id&gt;-intake</w:t>
            </w:r>
          </w:p>
        </w:tc>
        <w:tc>
          <w:tcPr>
            <w:tcW w:type="dxa" w:w="3168"/>
            <w:vAlign w:val="center"/>
          </w:tcPr>
          <w:p>
            <w:pPr>
              <w:pStyle w:val="Body"/>
              <w:spacing w:after="60" w:before="40"/>
              <w:jc w:val="left"/>
            </w:pPr>
            <w:r>
              <w:rPr>
                <w:sz w:val="16"/>
              </w:rPr>
              <w:t>SOUL.md; AGENTS.md; intake-routing.md</w:t>
            </w:r>
          </w:p>
        </w:tc>
        <w:tc>
          <w:tcPr>
            <w:tcW w:type="dxa" w:w="2015"/>
            <w:vAlign w:val="center"/>
          </w:tcPr>
          <w:p>
            <w:pPr>
              <w:pStyle w:val="Body"/>
              <w:spacing w:after="60" w:before="40"/>
              <w:jc w:val="left"/>
            </w:pPr>
            <w:r>
              <w:rPr>
                <w:sz w:val="16"/>
              </w:rPr>
              <w:t>message-intake; project-resolution</w:t>
            </w:r>
          </w:p>
        </w:tc>
      </w:tr>
      <w:tr>
        <w:tc>
          <w:tcPr>
            <w:tcW w:type="dxa" w:w="2448"/>
            <w:vAlign w:val="center"/>
          </w:tcPr>
          <w:p>
            <w:pPr>
              <w:pStyle w:val="Body"/>
              <w:spacing w:after="60" w:before="40"/>
              <w:jc w:val="left"/>
            </w:pPr>
            <w:r>
              <w:rPr>
                <w:sz w:val="16"/>
              </w:rPr>
              <w:t>construction.document-controller.v1</w:t>
            </w:r>
          </w:p>
        </w:tc>
        <w:tc>
          <w:tcPr>
            <w:tcW w:type="dxa" w:w="2015"/>
            <w:vAlign w:val="center"/>
          </w:tcPr>
          <w:p>
            <w:pPr>
              <w:pStyle w:val="Body"/>
              <w:spacing w:after="60" w:before="40"/>
              <w:jc w:val="left"/>
            </w:pPr>
            <w:r>
              <w:rPr>
                <w:sz w:val="16"/>
              </w:rPr>
              <w:t>proj-&lt;id&gt;-docctrl</w:t>
            </w:r>
          </w:p>
        </w:tc>
        <w:tc>
          <w:tcPr>
            <w:tcW w:type="dxa" w:w="3168"/>
            <w:vAlign w:val="center"/>
          </w:tcPr>
          <w:p>
            <w:pPr>
              <w:pStyle w:val="Body"/>
              <w:spacing w:after="60" w:before="40"/>
              <w:jc w:val="left"/>
            </w:pPr>
            <w:r>
              <w:rPr>
                <w:sz w:val="16"/>
              </w:rPr>
              <w:t>SOUL.md; AGENTS.md; source-resolution.md</w:t>
            </w:r>
          </w:p>
        </w:tc>
        <w:tc>
          <w:tcPr>
            <w:tcW w:type="dxa" w:w="2015"/>
            <w:vAlign w:val="center"/>
          </w:tcPr>
          <w:p>
            <w:pPr>
              <w:pStyle w:val="Body"/>
              <w:spacing w:after="60" w:before="40"/>
              <w:jc w:val="left"/>
            </w:pPr>
            <w:r>
              <w:rPr>
                <w:sz w:val="16"/>
              </w:rPr>
              <w:t>document-resolution; revision-check</w:t>
            </w:r>
          </w:p>
        </w:tc>
      </w:tr>
      <w:tr>
        <w:tc>
          <w:tcPr>
            <w:tcW w:type="dxa" w:w="2448"/>
            <w:vAlign w:val="center"/>
          </w:tcPr>
          <w:p>
            <w:pPr>
              <w:pStyle w:val="Body"/>
              <w:spacing w:after="60" w:before="40"/>
              <w:jc w:val="left"/>
            </w:pPr>
            <w:r>
              <w:rPr>
                <w:sz w:val="16"/>
              </w:rPr>
              <w:t>construction.rfi-coordinator.v1</w:t>
            </w:r>
          </w:p>
        </w:tc>
        <w:tc>
          <w:tcPr>
            <w:tcW w:type="dxa" w:w="2015"/>
            <w:vAlign w:val="center"/>
          </w:tcPr>
          <w:p>
            <w:pPr>
              <w:pStyle w:val="Body"/>
              <w:spacing w:after="60" w:before="40"/>
              <w:jc w:val="left"/>
            </w:pPr>
            <w:r>
              <w:rPr>
                <w:sz w:val="16"/>
              </w:rPr>
              <w:t>proj-&lt;id&gt;-rfi</w:t>
            </w:r>
          </w:p>
        </w:tc>
        <w:tc>
          <w:tcPr>
            <w:tcW w:type="dxa" w:w="3168"/>
            <w:vAlign w:val="center"/>
          </w:tcPr>
          <w:p>
            <w:pPr>
              <w:pStyle w:val="Body"/>
              <w:spacing w:after="60" w:before="40"/>
              <w:jc w:val="left"/>
            </w:pPr>
            <w:r>
              <w:rPr>
                <w:sz w:val="16"/>
              </w:rPr>
              <w:t>SOUL.md; AGENTS.md; rfi-playbook.md</w:t>
            </w:r>
          </w:p>
        </w:tc>
        <w:tc>
          <w:tcPr>
            <w:tcW w:type="dxa" w:w="2015"/>
            <w:vAlign w:val="center"/>
          </w:tcPr>
          <w:p>
            <w:pPr>
              <w:pStyle w:val="Body"/>
              <w:spacing w:after="60" w:before="40"/>
              <w:jc w:val="left"/>
            </w:pPr>
            <w:r>
              <w:rPr>
                <w:sz w:val="16"/>
              </w:rPr>
              <w:t>rfi-drafting; pmis-writeback</w:t>
            </w:r>
          </w:p>
        </w:tc>
      </w:tr>
      <w:tr>
        <w:tc>
          <w:tcPr>
            <w:tcW w:type="dxa" w:w="2448"/>
            <w:vAlign w:val="center"/>
          </w:tcPr>
          <w:p>
            <w:pPr>
              <w:pStyle w:val="Body"/>
              <w:spacing w:after="60" w:before="40"/>
              <w:jc w:val="left"/>
            </w:pPr>
            <w:r>
              <w:rPr>
                <w:sz w:val="16"/>
              </w:rPr>
              <w:t>construction.submittal-coordinator.v1</w:t>
            </w:r>
          </w:p>
        </w:tc>
        <w:tc>
          <w:tcPr>
            <w:tcW w:type="dxa" w:w="2015"/>
            <w:vAlign w:val="center"/>
          </w:tcPr>
          <w:p>
            <w:pPr>
              <w:pStyle w:val="Body"/>
              <w:spacing w:after="60" w:before="40"/>
              <w:jc w:val="left"/>
            </w:pPr>
            <w:r>
              <w:rPr>
                <w:sz w:val="16"/>
              </w:rPr>
              <w:t>proj-&lt;id&gt;-submittal</w:t>
            </w:r>
          </w:p>
        </w:tc>
        <w:tc>
          <w:tcPr>
            <w:tcW w:type="dxa" w:w="3168"/>
            <w:vAlign w:val="center"/>
          </w:tcPr>
          <w:p>
            <w:pPr>
              <w:pStyle w:val="Body"/>
              <w:spacing w:after="60" w:before="40"/>
              <w:jc w:val="left"/>
            </w:pPr>
            <w:r>
              <w:rPr>
                <w:sz w:val="16"/>
              </w:rPr>
              <w:t>SOUL.md; AGENTS.md; submittal-playbook.md</w:t>
            </w:r>
          </w:p>
        </w:tc>
        <w:tc>
          <w:tcPr>
            <w:tcW w:type="dxa" w:w="2015"/>
            <w:vAlign w:val="center"/>
          </w:tcPr>
          <w:p>
            <w:pPr>
              <w:pStyle w:val="Body"/>
              <w:spacing w:after="60" w:before="40"/>
              <w:jc w:val="left"/>
            </w:pPr>
            <w:r>
              <w:rPr>
                <w:sz w:val="16"/>
              </w:rPr>
              <w:t>submittal-check; reminder-management</w:t>
            </w:r>
          </w:p>
        </w:tc>
      </w:tr>
      <w:tr>
        <w:tc>
          <w:tcPr>
            <w:tcW w:type="dxa" w:w="2448"/>
            <w:vAlign w:val="center"/>
          </w:tcPr>
          <w:p>
            <w:pPr>
              <w:pStyle w:val="Body"/>
              <w:spacing w:after="60" w:before="40"/>
              <w:jc w:val="left"/>
            </w:pPr>
            <w:r>
              <w:rPr>
                <w:sz w:val="16"/>
              </w:rPr>
              <w:t>construction.meeting-reporting-analyst.v1</w:t>
            </w:r>
          </w:p>
        </w:tc>
        <w:tc>
          <w:tcPr>
            <w:tcW w:type="dxa" w:w="2015"/>
            <w:vAlign w:val="center"/>
          </w:tcPr>
          <w:p>
            <w:pPr>
              <w:pStyle w:val="Body"/>
              <w:spacing w:after="60" w:before="40"/>
              <w:jc w:val="left"/>
            </w:pPr>
            <w:r>
              <w:rPr>
                <w:sz w:val="16"/>
              </w:rPr>
              <w:t>proj-&lt;id&gt;-reporting</w:t>
            </w:r>
          </w:p>
        </w:tc>
        <w:tc>
          <w:tcPr>
            <w:tcW w:type="dxa" w:w="3168"/>
            <w:vAlign w:val="center"/>
          </w:tcPr>
          <w:p>
            <w:pPr>
              <w:pStyle w:val="Body"/>
              <w:spacing w:after="60" w:before="40"/>
              <w:jc w:val="left"/>
            </w:pPr>
            <w:r>
              <w:rPr>
                <w:sz w:val="16"/>
              </w:rPr>
              <w:t>SOUL.md; AGENTS.md; reporting-playbook.md</w:t>
            </w:r>
          </w:p>
        </w:tc>
        <w:tc>
          <w:tcPr>
            <w:tcW w:type="dxa" w:w="2015"/>
            <w:vAlign w:val="center"/>
          </w:tcPr>
          <w:p>
            <w:pPr>
              <w:pStyle w:val="Body"/>
              <w:spacing w:after="60" w:before="40"/>
              <w:jc w:val="left"/>
            </w:pPr>
            <w:r>
              <w:rPr>
                <w:sz w:val="16"/>
              </w:rPr>
              <w:t>meeting-pack; report-export</w:t>
            </w:r>
          </w:p>
        </w:tc>
      </w:tr>
      <w:tr>
        <w:tc>
          <w:tcPr>
            <w:tcW w:type="dxa" w:w="2448"/>
            <w:vAlign w:val="center"/>
          </w:tcPr>
          <w:p>
            <w:pPr>
              <w:pStyle w:val="Body"/>
              <w:spacing w:after="60" w:before="40"/>
              <w:jc w:val="left"/>
            </w:pPr>
            <w:r>
              <w:rPr>
                <w:sz w:val="16"/>
              </w:rPr>
              <w:t>construction.action-risk-tracker.v1</w:t>
            </w:r>
          </w:p>
        </w:tc>
        <w:tc>
          <w:tcPr>
            <w:tcW w:type="dxa" w:w="2015"/>
            <w:vAlign w:val="center"/>
          </w:tcPr>
          <w:p>
            <w:pPr>
              <w:pStyle w:val="Body"/>
              <w:spacing w:after="60" w:before="40"/>
              <w:jc w:val="left"/>
            </w:pPr>
            <w:r>
              <w:rPr>
                <w:sz w:val="16"/>
              </w:rPr>
              <w:t>proj-&lt;id&gt;-actions</w:t>
            </w:r>
          </w:p>
        </w:tc>
        <w:tc>
          <w:tcPr>
            <w:tcW w:type="dxa" w:w="3168"/>
            <w:vAlign w:val="center"/>
          </w:tcPr>
          <w:p>
            <w:pPr>
              <w:pStyle w:val="Body"/>
              <w:spacing w:after="60" w:before="40"/>
              <w:jc w:val="left"/>
            </w:pPr>
            <w:r>
              <w:rPr>
                <w:sz w:val="16"/>
              </w:rPr>
              <w:t>SOUL.md; AGENTS.md; follow-through.md</w:t>
            </w:r>
          </w:p>
        </w:tc>
        <w:tc>
          <w:tcPr>
            <w:tcW w:type="dxa" w:w="2015"/>
            <w:vAlign w:val="center"/>
          </w:tcPr>
          <w:p>
            <w:pPr>
              <w:pStyle w:val="Body"/>
              <w:spacing w:after="60" w:before="40"/>
              <w:jc w:val="left"/>
            </w:pPr>
            <w:r>
              <w:rPr>
                <w:sz w:val="16"/>
              </w:rPr>
              <w:t>action-register; risk-watch</w:t>
            </w:r>
          </w:p>
        </w:tc>
      </w:tr>
    </w:tbl>
    <w:p/>
    <w:p>
      <w:pPr>
        <w:pStyle w:val="RuhHeading1"/>
        <w:keepNext/>
        <w:spacing w:before="320" w:after="160"/>
      </w:pPr>
      <w:r>
        <w:t>Appendix B. Source assumptions</w:t>
      </w:r>
    </w:p>
    <w:p>
      <w:pPr>
        <w:pStyle w:val="Body"/>
        <w:spacing w:after="120" w:before="0" w:line="276" w:lineRule="auto"/>
      </w:pPr>
      <w:r>
        <w:t>The references below anchor the OpenClaw runtime assumptions used by this reference pack and should be revisited whenever the runtime adapter changes.</w:t>
      </w:r>
    </w:p>
    <w:p>
      <w:pPr>
        <w:pStyle w:val="Body"/>
        <w:spacing w:after="60"/>
      </w:pPr>
      <w:r>
        <w:rPr>
          <w:b/>
        </w:rPr>
        <w:t xml:space="preserve">[R1] </w:t>
      </w:r>
      <w:r>
        <w:t>OpenClaw CLI - agents (isolated agents with workspaces, auth, and routing) - https://docs.openclaw.ai/cli/agents</w:t>
      </w:r>
    </w:p>
    <w:p>
      <w:pPr>
        <w:pStyle w:val="Body"/>
        <w:spacing w:after="60"/>
      </w:pPr>
      <w:r>
        <w:rPr>
          <w:b/>
        </w:rPr>
        <w:t xml:space="preserve">[R2] </w:t>
      </w:r>
      <w:r>
        <w:t>OpenClaw tools - skills (AgentSkills-compatible skill folders) - https://docs.openclaw.ai/tools/skills</w:t>
      </w:r>
    </w:p>
    <w:p>
      <w:pPr>
        <w:pStyle w:val="Body"/>
        <w:spacing w:after="60"/>
      </w:pPr>
      <w:r>
        <w:rPr>
          <w:b/>
        </w:rPr>
        <w:t xml:space="preserve">[R3] </w:t>
      </w:r>
      <w:r>
        <w:t>OpenClaw automation - hooks - https://docs.openclaw.ai/automation/hooks</w:t>
      </w:r>
    </w:p>
    <w:p>
      <w:pPr>
        <w:pStyle w:val="Body"/>
        <w:spacing w:after="60"/>
      </w:pPr>
      <w:r>
        <w:rPr>
          <w:b/>
        </w:rPr>
        <w:t xml:space="preserve">[R4] </w:t>
      </w:r>
      <w:r>
        <w:t>OpenClaw automation - cron jobs - https://docs.openclaw.ai/automation/cron-jobs</w:t>
      </w:r>
    </w:p>
    <w:p>
      <w:pPr>
        <w:pStyle w:val="Body"/>
        <w:spacing w:after="60"/>
      </w:pPr>
      <w:r>
        <w:rPr>
          <w:b/>
        </w:rPr>
        <w:t xml:space="preserve">[R5] </w:t>
      </w:r>
      <w:r>
        <w:t>OpenClaw gateway - sandboxing - https://docs.openclaw.ai/gateway/sandboxing</w:t>
      </w:r>
    </w:p>
    <w:p>
      <w:pPr>
        <w:pStyle w:val="Body"/>
        <w:spacing w:after="60"/>
      </w:pPr>
      <w:r>
        <w:rPr>
          <w:b/>
        </w:rPr>
        <w:t xml:space="preserve">[R6] </w:t>
      </w:r>
      <w:r>
        <w:t>OpenClaw gateway - security - https://docs.openclaw.ai/gateway/security</w:t>
      </w:r>
    </w:p>
    <w:sectPr w:rsidR="00FC693F" w:rsidRPr="0006063C" w:rsidSect="00034616">
      <w:headerReference w:type="default" r:id="rId9"/>
      <w:footerReference w:type="default" r:id="rId10"/>
      <w:pgSz w:w="12240" w:h="15840"/>
      <w:pgMar w:top="936" w:right="1037" w:bottom="936"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Ruh.ai Construction Project Operations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pPr>
    <w:rPr>
      <w:rFonts w:asciiTheme="majorHAnsi" w:eastAsiaTheme="majorEastAsia" w:hAnsiTheme="majorHAnsi" w:cstheme="majorBidi"/>
      <w:i/>
      <w:iCs/>
      <w:color w:val="5A71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before="40"/>
    </w:pPr>
    <w:rPr>
      <w:b/>
      <w:bCs/>
      <w:i/>
      <w:color w:val="5A718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 Main"/>
    <w:basedOn w:val="Normal"/>
    <w:pPr>
      <w:keepNext/>
      <w:spacing w:after="120"/>
    </w:pPr>
    <w:rPr>
      <w:rFonts w:ascii="Aptos Display" w:hAnsi="Aptos Display"/>
      <w:b/>
      <w:color w:val="17324D"/>
      <w:sz w:val="52"/>
    </w:rPr>
  </w:style>
  <w:style w:type="paragraph" w:customStyle="1" w:styleId="RuhHeading1">
    <w:name w:val="Ruh Heading 1"/>
    <w:basedOn w:val="Normal"/>
    <w:pPr>
      <w:keepNext/>
      <w:spacing w:before="240" w:after="80"/>
    </w:pPr>
    <w:rPr>
      <w:b/>
      <w:color w:val="17324D"/>
      <w:sz w:val="32"/>
    </w:rPr>
  </w:style>
  <w:style w:type="paragraph" w:customStyle="1" w:styleId="RuhHeading2">
    <w:name w:val="Ruh Heading 2"/>
    <w:basedOn w:val="Normal"/>
    <w:pPr>
      <w:keepNext/>
      <w:spacing w:before="160" w:after="80"/>
    </w:pPr>
    <w:rPr>
      <w:b/>
      <w:color w:val="2F6FE4"/>
      <w:sz w:val="25"/>
    </w:rPr>
  </w:style>
  <w:style w:type="paragraph" w:customStyle="1" w:styleId="RuhHeading3">
    <w:name w:val="Ruh Heading 3"/>
    <w:basedOn w:val="Normal"/>
    <w:pPr>
      <w:keepNext/>
      <w:spacing w:before="160" w:after="80"/>
    </w:pPr>
    <w:rPr>
      <w:b/>
      <w:color w:val="17324D"/>
      <w:sz w:val="21"/>
    </w:rPr>
  </w:style>
  <w:style w:type="paragraph" w:customStyle="1" w:styleId="Body">
    <w:name w:val="Body"/>
    <w:basedOn w:val="Normal"/>
    <w:pPr>
      <w:spacing w:after="120" w:line="283" w:lineRule="auto"/>
    </w:pPr>
    <w:rPr>
      <w:color w:val="17324D"/>
      <w:sz w:val="21"/>
    </w:rPr>
  </w:style>
  <w:style w:type="paragraph" w:customStyle="1" w:styleId="Bullet1">
    <w:name w:val="Bullet 1"/>
    <w:basedOn w:val="ListBullet"/>
    <w:pPr>
      <w:spacing w:after="60"/>
    </w:pPr>
    <w:rPr>
      <w:color w:val="17324D"/>
      <w:sz w:val="20"/>
    </w:rPr>
  </w:style>
  <w:style w:type="paragraph" w:customStyle="1" w:styleId="Bullet2">
    <w:name w:val="Bullet 2"/>
    <w:basedOn w:val="ListBullet2"/>
    <w:pPr>
      <w:spacing w:after="40"/>
    </w:pPr>
    <w:rPr>
      <w:color w:val="17324D"/>
      <w:sz w:val="20"/>
    </w:rPr>
  </w:style>
  <w:style w:type="paragraph" w:customStyle="1" w:styleId="Small">
    <w:name w:val="Small"/>
    <w:basedOn w:val="Normal"/>
    <w:pPr>
      <w:spacing w:after="60"/>
    </w:pPr>
    <w:rPr>
      <w:color w:val="5A7184"/>
      <w:sz w:val="17"/>
    </w:rPr>
  </w:style>
  <w:style w:type="paragraph" w:customStyle="1" w:styleId="CodeBlock">
    <w:name w:val="Code Block"/>
    <w:basedOn w:val="Normal"/>
    <w:pPr>
      <w:spacing w:after="0" w:line="240" w:lineRule="auto"/>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cs.openclaw.ai/cli/agents" TargetMode="External"/><Relationship Id="rId15" Type="http://schemas.openxmlformats.org/officeDocument/2006/relationships/hyperlink" Target="https://docs.openclaw.ai/tools/skills" TargetMode="External"/><Relationship Id="rId16" Type="http://schemas.openxmlformats.org/officeDocument/2006/relationships/hyperlink" Target="https://docs.openclaw.ai/automation/hooks" TargetMode="External"/><Relationship Id="rId17" Type="http://schemas.openxmlformats.org/officeDocument/2006/relationships/hyperlink" Target="https://docs.openclaw.ai/tools" TargetMode="External"/><Relationship Id="rId18" Type="http://schemas.openxmlformats.org/officeDocument/2006/relationships/hyperlink" Target="https://docs.openclaw.ai/concepts/agent-workspace" TargetMode="External"/><Relationship Id="rId19" Type="http://schemas.openxmlformats.org/officeDocument/2006/relationships/hyperlink" Target="https://docs.openclaw.ai/gateway/security" TargetMode="External"/><Relationship Id="rId20" Type="http://schemas.openxmlformats.org/officeDocument/2006/relationships/hyperlink" Target="https://docs.openclaw.ai/gateway/sandboxing" TargetMode="External"/><Relationship Id="rId21" Type="http://schemas.openxmlformats.org/officeDocument/2006/relationships/hyperlink" Target="https://docs.openclaw.ai/gateway/configuration-reference" TargetMode="External"/><Relationship Id="rId22" Type="http://schemas.openxmlformats.org/officeDocument/2006/relationships/hyperlink" Target="https://docs.openclaw.ai/reference/token-use" TargetMode="External"/><Relationship Id="rId23" Type="http://schemas.openxmlformats.org/officeDocument/2006/relationships/hyperlink" Target="https://docs.openclaw.ai/gateway/heartbeat" TargetMode="External"/><Relationship Id="rId24" Type="http://schemas.openxmlformats.org/officeDocument/2006/relationships/image" Target="media/image4.png"/><Relationship Id="rId2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Ruh.ai V1 Reference Pack Definition - Construction Project Operations Pack</dc:title>
  <dc:subject>Reference implementation pack for horizontal construction project operations automation</dc:subject>
  <dc:creator>OpenAI</dc:creator>
  <cp:keywords/>
  <dc:description>Generated by OpenAI in the container environment.</dc:description>
  <cp:lastModifiedBy/>
  <cp:revision>1</cp:revision>
  <dcterms:created xsi:type="dcterms:W3CDTF">2026-03-07T23:50:20Z</dcterms:created>
  <dcterms:modified xsi:type="dcterms:W3CDTF">2013-12-23T23:15:00Z</dcterms:modified>
  <cp:category>Product documentation</cp:category>
</cp:coreProperties>
</file>