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F3A5F" w:val="clear"/>
            <w:tcMar>
              <w:top w:w="160" w:type="dxa"/>
              <w:start w:w="180" w:type="dxa"/>
              <w:bottom w:w="180" w:type="dxa"/>
              <w:end w:w="180" w:type="dxa"/>
            </w:tcMar>
          </w:tcPr>
          <w:p>
            <w:pPr>
              <w:jc w:val="left"/>
            </w:pPr>
            <w:r>
              <w:rPr>
                <w:rFonts w:ascii="Liberation Sans" w:hAnsi="Liberation Sans"/>
                <w:b/>
                <w:i w:val="0"/>
                <w:color w:val="FFFFFF"/>
                <w:sz w:val="44"/>
              </w:rPr>
              <w:t>Ruh.ai V1 Tenant Overlay Kit</w:t>
            </w:r>
          </w:p>
          <w:p>
            <w:pPr>
              <w:jc w:val="left"/>
            </w:pPr>
            <w:r>
              <w:rPr>
                <w:rFonts w:ascii="Liberation Sans" w:hAnsi="Liberation Sans"/>
                <w:b w:val="0"/>
                <w:i w:val="0"/>
                <w:color w:val="E5EEF7"/>
                <w:sz w:val="23"/>
              </w:rPr>
              <w:t>AI BuildOps - GitHub + Linear + Slack + Sentry</w:t>
            </w:r>
          </w:p>
          <w:p>
            <w:pPr>
              <w:jc w:val="left"/>
            </w:pPr>
            <w:r>
              <w:rPr>
                <w:rFonts w:ascii="Liberation Sans" w:hAnsi="Liberation Sans"/>
                <w:b w:val="0"/>
                <w:i/>
                <w:color w:val="BFD2E6"/>
                <w:sz w:val="19"/>
              </w:rPr>
              <w:t>Deployment-ready overlay for one software organization, one trust boundary, and an AI-product delivery conveyor</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56"/>
        <w:gridCol w:w="2556"/>
        <w:gridCol w:w="2556"/>
        <w:gridCol w:w="2556"/>
      </w:tblGrid>
      <w:tr>
        <w:tc>
          <w:tcPr>
            <w:tcW w:type="dxa" w:w="2520"/>
            <w:shd w:fill="EEF4FB" w:val="clear"/>
            <w:tcMar>
              <w:top w:w="80" w:type="dxa"/>
              <w:start w:w="110" w:type="dxa"/>
              <w:bottom w:w="80" w:type="dxa"/>
              <w:end w:w="110" w:type="dxa"/>
            </w:tcMar>
          </w:tcPr>
          <w:p>
            <w:pPr>
              <w:jc w:val="center"/>
            </w:pPr>
            <w:r>
              <w:rPr>
                <w:rFonts w:ascii="Liberation Sans" w:hAnsi="Liberation Sans"/>
                <w:b/>
                <w:i w:val="0"/>
                <w:color w:val="667085"/>
                <w:sz w:val="16"/>
              </w:rPr>
              <w:t>VERSION</w:t>
              <w:br/>
            </w:r>
            <w:r>
              <w:rPr>
                <w:rFonts w:ascii="Liberation Sans" w:hAnsi="Liberation Sans"/>
                <w:b/>
                <w:i w:val="0"/>
                <w:color w:val="243447"/>
                <w:sz w:val="20"/>
              </w:rPr>
              <w:t>0.1.0</w:t>
            </w:r>
          </w:p>
        </w:tc>
        <w:tc>
          <w:tcPr>
            <w:tcW w:type="dxa" w:w="2520"/>
            <w:shd w:fill="EAF6F3" w:val="clear"/>
            <w:tcMar>
              <w:top w:w="80" w:type="dxa"/>
              <w:start w:w="110" w:type="dxa"/>
              <w:bottom w:w="80" w:type="dxa"/>
              <w:end w:w="110" w:type="dxa"/>
            </w:tcMar>
          </w:tcPr>
          <w:p>
            <w:pPr>
              <w:jc w:val="center"/>
            </w:pPr>
            <w:r>
              <w:rPr>
                <w:rFonts w:ascii="Liberation Sans" w:hAnsi="Liberation Sans"/>
                <w:b/>
                <w:i w:val="0"/>
                <w:color w:val="667085"/>
                <w:sz w:val="16"/>
              </w:rPr>
              <w:t>PACK REF</w:t>
              <w:br/>
            </w:r>
            <w:r>
              <w:rPr>
                <w:rFonts w:ascii="Liberation Sans" w:hAnsi="Liberation Sans"/>
                <w:b/>
                <w:i w:val="0"/>
                <w:color w:val="243447"/>
                <w:sz w:val="20"/>
              </w:rPr>
              <w:t>ai-buildops@1.0.0</w:t>
            </w:r>
          </w:p>
        </w:tc>
        <w:tc>
          <w:tcPr>
            <w:tcW w:type="dxa" w:w="2520"/>
            <w:shd w:fill="EEF4FB" w:val="clear"/>
            <w:tcMar>
              <w:top w:w="80" w:type="dxa"/>
              <w:start w:w="110" w:type="dxa"/>
              <w:bottom w:w="80" w:type="dxa"/>
              <w:end w:w="110" w:type="dxa"/>
            </w:tcMar>
          </w:tcPr>
          <w:p>
            <w:pPr>
              <w:jc w:val="center"/>
            </w:pPr>
            <w:r>
              <w:rPr>
                <w:rFonts w:ascii="Liberation Sans" w:hAnsi="Liberation Sans"/>
                <w:b/>
                <w:i w:val="0"/>
                <w:color w:val="667085"/>
                <w:sz w:val="16"/>
              </w:rPr>
              <w:t>PRIMARY USE</w:t>
              <w:br/>
            </w:r>
            <w:r>
              <w:rPr>
                <w:rFonts w:ascii="Liberation Sans" w:hAnsi="Liberation Sans"/>
                <w:b/>
                <w:i w:val="0"/>
                <w:color w:val="243447"/>
                <w:sz w:val="20"/>
              </w:rPr>
              <w:t>Pilot + first production overlay</w:t>
            </w:r>
          </w:p>
        </w:tc>
        <w:tc>
          <w:tcPr>
            <w:tcW w:type="dxa" w:w="2520"/>
            <w:shd w:fill="EAF6F3" w:val="clear"/>
            <w:tcMar>
              <w:top w:w="80" w:type="dxa"/>
              <w:start w:w="110" w:type="dxa"/>
              <w:bottom w:w="80" w:type="dxa"/>
              <w:end w:w="110" w:type="dxa"/>
            </w:tcMar>
          </w:tcPr>
          <w:p>
            <w:pPr>
              <w:jc w:val="center"/>
            </w:pPr>
            <w:r>
              <w:rPr>
                <w:rFonts w:ascii="Liberation Sans" w:hAnsi="Liberation Sans"/>
                <w:b/>
                <w:i w:val="0"/>
                <w:color w:val="667085"/>
                <w:sz w:val="16"/>
              </w:rPr>
              <w:t>DATE</w:t>
              <w:br/>
            </w:r>
            <w:r>
              <w:rPr>
                <w:rFonts w:ascii="Liberation Sans" w:hAnsi="Liberation Sans"/>
                <w:b/>
                <w:i w:val="0"/>
                <w:color w:val="243447"/>
                <w:sz w:val="20"/>
              </w:rPr>
              <w:t>2026-03-08</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EAF6F3" w:val="clear"/>
            <w:tcMar>
              <w:top w:w="120" w:type="dxa"/>
              <w:start w:w="130" w:type="dxa"/>
              <w:bottom w:w="120" w:type="dxa"/>
              <w:end w:w="130" w:type="dxa"/>
            </w:tcMar>
          </w:tcPr>
          <w:p>
            <w:r>
              <w:rPr>
                <w:rFonts w:ascii="Liberation Sans" w:hAnsi="Liberation Sans"/>
                <w:b/>
                <w:i w:val="0"/>
                <w:color w:val="227A52"/>
                <w:sz w:val="22"/>
              </w:rPr>
              <w:t>Executive snapshot</w:t>
              <w:br/>
            </w:r>
            <w:r>
              <w:rPr>
                <w:rFonts w:ascii="Liberation Sans" w:hAnsi="Liberation Sans"/>
                <w:b w:val="0"/>
                <w:i w:val="0"/>
                <w:color w:val="243447"/>
                <w:sz w:val="20"/>
              </w:rPr>
              <w:t>This overlay kit binds the reusable AI BuildOps pack to a delivery stack where GitHub is the code and pull-request system of record, Linear is the planning system of record, Slack is the operator and approval surface, and Sentry is the normalized source for production incidents and regressions.</w:t>
            </w:r>
            <w:r>
              <w:br/>
            </w:r>
            <w:r>
              <w:rPr>
                <w:rFonts w:ascii="Liberation Sans" w:hAnsi="Liberation Sans"/>
                <w:b w:val="0"/>
                <w:i w:val="0"/>
                <w:color w:val="243447"/>
                <w:sz w:val="20"/>
              </w:rPr>
              <w:t>The overlay is designed for teams building AI products that already have modern engineering tools but still suffer from fragmented intake, incomplete specifications, inconsistent handoffs, manual release preparation, and slow incident learning loops.</w:t>
            </w:r>
            <w:r>
              <w:br/>
            </w:r>
            <w:r>
              <w:rPr>
                <w:rFonts w:ascii="Liberation Sans" w:hAnsi="Liberation Sans"/>
                <w:b w:val="0"/>
                <w:i w:val="0"/>
                <w:color w:val="243447"/>
                <w:sz w:val="20"/>
              </w:rPr>
              <w:t>The recommended first activation slice is intake-to-spec, spec-to-build orchestration, eval and release prep, and incident-to-regression learning.</w:t>
            </w:r>
          </w:p>
        </w:tc>
      </w:tr>
    </w:tbl>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buildops_overlay_overview.png"/>
                    <pic:cNvPicPr/>
                  </pic:nvPicPr>
                  <pic:blipFill>
                    <a:blip r:embed="rId10"/>
                    <a:stretch>
                      <a:fillRect/>
                    </a:stretch>
                  </pic:blipFill>
                  <pic:spPr>
                    <a:xfrm>
                      <a:off x="0" y="0"/>
                      <a:ext cx="6217920" cy="3497580"/>
                    </a:xfrm>
                    <a:prstGeom prst="rect"/>
                  </pic:spPr>
                </pic:pic>
              </a:graphicData>
            </a:graphic>
          </wp:inline>
        </w:drawing>
      </w:r>
    </w:p>
    <w:p>
      <w:pPr>
        <w:jc w:val="center"/>
      </w:pPr>
      <w:r>
        <w:rPr>
          <w:rFonts w:ascii="Liberation Sans" w:hAnsi="Liberation Sans"/>
          <w:b w:val="0"/>
          <w:i/>
          <w:color w:val="667085"/>
          <w:sz w:val="18"/>
        </w:rPr>
        <w:t>Figure 1. The overlay binds one reusable delivery pack to one engineering stack and one trust boundary.</w:t>
      </w:r>
    </w:p>
    <w:p>
      <w:pPr>
        <w:pStyle w:val="Heading1"/>
        <w:spacing w:before="240" w:after="120"/>
      </w:pPr>
      <w:r>
        <w:rPr>
          <w:rFonts w:ascii="Liberation Sans" w:hAnsi="Liberation Sans"/>
          <w:b/>
          <w:color w:val="1F3A5F"/>
          <w:sz w:val="30"/>
        </w:rPr>
        <w:t>1. Purpose, scope, and design choices</w:t>
      </w:r>
    </w:p>
    <w:p>
      <w:pPr>
        <w:spacing w:after="140" w:line="276" w:lineRule="auto"/>
      </w:pPr>
      <w:r>
        <w:rPr>
          <w:rFonts w:ascii="Liberation Sans" w:hAnsi="Liberation Sans"/>
          <w:b w:val="0"/>
          <w:i w:val="0"/>
          <w:color w:val="243447"/>
          <w:sz w:val="20"/>
        </w:rPr>
        <w:t>This document instantiates the AI BuildOps reference pack as a concrete tenant overlay. It specifies how canonical delivery objects map to GitHub, Linear, Slack, and Sentry; which employees are activated; what permissions and approvals apply; what rollout order is recommended; and how a design-partner deployment should be judged before production promotion.</w:t>
      </w:r>
    </w:p>
    <w:p>
      <w:pPr>
        <w:pStyle w:val="ListBullet"/>
        <w:spacing w:after="60" w:line="269" w:lineRule="auto"/>
      </w:pPr>
      <w:r>
        <w:rPr>
          <w:rFonts w:ascii="Liberation Sans" w:hAnsi="Liberation Sans"/>
          <w:b w:val="0"/>
          <w:i w:val="0"/>
          <w:color w:val="243447"/>
          <w:sz w:val="20"/>
        </w:rPr>
        <w:t>Keep GitHub as the source of truth for repositories, branches, pull requests, CI status, and releases.</w:t>
      </w:r>
    </w:p>
    <w:p>
      <w:pPr>
        <w:pStyle w:val="ListBullet"/>
        <w:spacing w:after="60" w:line="269" w:lineRule="auto"/>
      </w:pPr>
      <w:r>
        <w:rPr>
          <w:rFonts w:ascii="Liberation Sans" w:hAnsi="Liberation Sans"/>
          <w:b w:val="0"/>
          <w:i w:val="0"/>
          <w:color w:val="243447"/>
          <w:sz w:val="20"/>
        </w:rPr>
        <w:t>Keep Linear as the source of truth for issue ownership, planning state, and team routing.</w:t>
      </w:r>
    </w:p>
    <w:p>
      <w:pPr>
        <w:pStyle w:val="ListBullet"/>
        <w:spacing w:after="60" w:line="269" w:lineRule="auto"/>
      </w:pPr>
      <w:r>
        <w:rPr>
          <w:rFonts w:ascii="Liberation Sans" w:hAnsi="Liberation Sans"/>
          <w:b w:val="0"/>
          <w:i w:val="0"/>
          <w:color w:val="243447"/>
          <w:sz w:val="20"/>
        </w:rPr>
        <w:t>Use Slack for operator interaction, approvals, digests, and workflow visibility.</w:t>
      </w:r>
    </w:p>
    <w:p>
      <w:pPr>
        <w:pStyle w:val="ListBullet"/>
        <w:spacing w:after="60" w:line="269" w:lineRule="auto"/>
      </w:pPr>
      <w:r>
        <w:rPr>
          <w:rFonts w:ascii="Liberation Sans" w:hAnsi="Liberation Sans"/>
          <w:b w:val="0"/>
          <w:i w:val="0"/>
          <w:color w:val="243447"/>
          <w:sz w:val="20"/>
        </w:rPr>
        <w:t>Use Sentry as the normalized production-signal and regression source for post-release learning.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FFF7E9" w:val="clear"/>
            <w:tcMar>
              <w:top w:w="120" w:type="dxa"/>
              <w:start w:w="130" w:type="dxa"/>
              <w:bottom w:w="120" w:type="dxa"/>
              <w:end w:w="130" w:type="dxa"/>
            </w:tcMar>
          </w:tcPr>
          <w:p>
            <w:r>
              <w:rPr>
                <w:rFonts w:ascii="Liberation Sans" w:hAnsi="Liberation Sans"/>
                <w:b/>
                <w:i w:val="0"/>
                <w:color w:val="9A6700"/>
                <w:sz w:val="22"/>
              </w:rPr>
              <w:t>Out of scope in this overlay</w:t>
              <w:br/>
            </w:r>
            <w:r>
              <w:rPr>
                <w:rFonts w:ascii="Liberation Sans" w:hAnsi="Liberation Sans"/>
                <w:b w:val="0"/>
                <w:i w:val="0"/>
                <w:color w:val="243447"/>
                <w:sz w:val="20"/>
              </w:rPr>
              <w:t>Automatic merge to protected branches, autonomous production deployment, or any hidden bypass of existing branch-protection and release controls.</w:t>
            </w:r>
            <w:r>
              <w:br/>
            </w:r>
            <w:r>
              <w:rPr>
                <w:rFonts w:ascii="Liberation Sans" w:hAnsi="Liberation Sans"/>
                <w:b w:val="0"/>
                <w:i w:val="0"/>
                <w:color w:val="243447"/>
                <w:sz w:val="20"/>
              </w:rPr>
              <w:t>Replacing GitHub, Linear, Slack, or Sentry. The overlay orchestrates around those systems; it does not supersede them.</w:t>
            </w:r>
          </w:p>
        </w:tc>
      </w:tr>
    </w:tbl>
    <w:p>
      <w:pPr>
        <w:pStyle w:val="Heading1"/>
        <w:spacing w:before="240" w:after="120"/>
      </w:pPr>
      <w:r>
        <w:rPr>
          <w:rFonts w:ascii="Liberation Sans" w:hAnsi="Liberation Sans"/>
          <w:b/>
          <w:color w:val="1F3A5F"/>
          <w:sz w:val="30"/>
        </w:rPr>
        <w:t>2. Stack assumptions and tenant prerequisites</w:t>
      </w:r>
    </w:p>
    <w:p>
      <w:pPr>
        <w:spacing w:after="140" w:line="276" w:lineRule="auto"/>
      </w:pPr>
      <w:r>
        <w:rPr>
          <w:rFonts w:ascii="Liberation Sans" w:hAnsi="Liberation Sans"/>
          <w:b w:val="0"/>
          <w:i w:val="0"/>
          <w:color w:val="243447"/>
          <w:sz w:val="20"/>
        </w:rPr>
        <w:t>The overlay assumes the engineering organization already operates with a reasonably stable repo, planning, and alerting structure. Ruh.ai should remove coordination tax, not compensate for total process absence.</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3408"/>
        <w:gridCol w:w="3408"/>
        <w:gridCol w:w="3408"/>
      </w:tblGrid>
      <w:tr>
        <w:tc>
          <w:tcPr>
            <w:tcW w:type="dxa" w:w="1440"/>
            <w:shd w:fill="1F3A5F" w:val="clear"/>
            <w:tcMar>
              <w:top w:w="90" w:type="dxa"/>
              <w:start w:w="90" w:type="dxa"/>
              <w:bottom w:w="90" w:type="dxa"/>
              <w:end w:w="90" w:type="dxa"/>
            </w:tcMar>
            <w:vAlign w:val="center"/>
          </w:tcPr>
          <w:p>
            <w:pPr>
              <w:jc w:val="center"/>
            </w:pPr>
            <w:r>
              <w:rPr>
                <w:rFonts w:ascii="Liberation Sans" w:hAnsi="Liberation Sans"/>
                <w:b/>
                <w:i w:val="0"/>
                <w:color w:val="FFFFFF"/>
                <w:sz w:val="18"/>
              </w:rPr>
              <w:t>Area</w:t>
            </w:r>
          </w:p>
        </w:tc>
        <w:tc>
          <w:tcPr>
            <w:tcW w:type="dxa" w:w="316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Minimum requirement</w:t>
            </w:r>
          </w:p>
        </w:tc>
        <w:tc>
          <w:tcPr>
            <w:tcW w:type="dxa" w:w="547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Why it matters</w:t>
            </w:r>
          </w:p>
        </w:tc>
      </w:tr>
      <w:tr>
        <w:tc>
          <w:tcPr>
            <w:tcW w:type="dxa" w:w="1440"/>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GitHub</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Organization-level app install, repository list, branch protection already defined</w:t>
            </w:r>
          </w:p>
        </w:tc>
        <w:tc>
          <w:tcPr>
            <w:tcW w:type="dxa" w:w="54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Builder and review workflows need stable repos and PR rules.</w:t>
            </w:r>
          </w:p>
        </w:tc>
      </w:tr>
      <w:tr>
        <w:tc>
          <w:tcPr>
            <w:tcW w:type="dxa" w:w="1440"/>
            <w:tcMar>
              <w:top w:w="70" w:type="dxa"/>
              <w:start w:w="90" w:type="dxa"/>
              <w:bottom w:w="70" w:type="dxa"/>
              <w:end w:w="90" w:type="dxa"/>
            </w:tcMar>
            <w:vAlign w:val="center"/>
            <w:shd w:fill="FFFFFF" w:val="clear"/>
          </w:tcPr>
          <w:p>
            <w:pPr>
              <w:spacing w:after="40" w:line="259" w:lineRule="auto"/>
              <w:jc w:val="center"/>
            </w:pPr>
            <w:r>
              <w:rPr>
                <w:rFonts w:ascii="Liberation Sans" w:hAnsi="Liberation Sans"/>
                <w:b w:val="0"/>
                <w:i w:val="0"/>
                <w:color w:val="243447"/>
                <w:sz w:val="18"/>
              </w:rPr>
              <w:t>Linear</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Teams, workflow states, and project taxonomy in active use</w:t>
            </w:r>
          </w:p>
        </w:tc>
        <w:tc>
          <w:tcPr>
            <w:tcW w:type="dxa" w:w="547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Intake and spec handoffs need a clean planning backbone.</w:t>
            </w:r>
          </w:p>
        </w:tc>
      </w:tr>
      <w:tr>
        <w:tc>
          <w:tcPr>
            <w:tcW w:type="dxa" w:w="1440"/>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Slack</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Engineering channels plus a dedicated approvals / alerts surface</w:t>
            </w:r>
          </w:p>
        </w:tc>
        <w:tc>
          <w:tcPr>
            <w:tcW w:type="dxa" w:w="54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Humans need a reliable place to supervise the conveyor.</w:t>
            </w:r>
          </w:p>
        </w:tc>
      </w:tr>
      <w:tr>
        <w:tc>
          <w:tcPr>
            <w:tcW w:type="dxa" w:w="1440"/>
            <w:tcMar>
              <w:top w:w="70" w:type="dxa"/>
              <w:start w:w="90" w:type="dxa"/>
              <w:bottom w:w="70" w:type="dxa"/>
              <w:end w:w="90" w:type="dxa"/>
            </w:tcMar>
            <w:vAlign w:val="center"/>
            <w:shd w:fill="FFFFFF" w:val="clear"/>
          </w:tcPr>
          <w:p>
            <w:pPr>
              <w:spacing w:after="40" w:line="259" w:lineRule="auto"/>
              <w:jc w:val="center"/>
            </w:pPr>
            <w:r>
              <w:rPr>
                <w:rFonts w:ascii="Liberation Sans" w:hAnsi="Liberation Sans"/>
                <w:b w:val="0"/>
                <w:i w:val="0"/>
                <w:color w:val="243447"/>
                <w:sz w:val="18"/>
              </w:rPr>
              <w:t>Sentry</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Project-level alerting and release associations in use</w:t>
            </w:r>
          </w:p>
        </w:tc>
        <w:tc>
          <w:tcPr>
            <w:tcW w:type="dxa" w:w="547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Incident learning depends on a trustworthy production signal source.</w:t>
            </w:r>
          </w:p>
        </w:tc>
      </w:tr>
      <w:tr>
        <w:tc>
          <w:tcPr>
            <w:tcW w:type="dxa" w:w="1440"/>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Service catalog</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Named mapping of service -&gt; repo -&gt; team -&gt; on-call group</w:t>
            </w:r>
          </w:p>
        </w:tc>
        <w:tc>
          <w:tcPr>
            <w:tcW w:type="dxa" w:w="54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The overlay routes work by service boundary, not by guesswork.</w:t>
            </w:r>
          </w:p>
        </w:tc>
      </w:tr>
    </w:tbl>
    <w:p>
      <w:pPr>
        <w:pStyle w:val="Heading1"/>
        <w:spacing w:before="240" w:after="120"/>
      </w:pPr>
      <w:r>
        <w:rPr>
          <w:rFonts w:ascii="Liberation Sans" w:hAnsi="Liberation Sans"/>
          <w:b/>
          <w:color w:val="1F3A5F"/>
          <w:sz w:val="30"/>
        </w:rPr>
        <w:t>3. Overlay topology and trust-boundary model</w:t>
      </w:r>
    </w:p>
    <w:p>
      <w:pPr>
        <w:spacing w:after="140" w:line="276" w:lineRule="auto"/>
      </w:pPr>
      <w:r>
        <w:rPr>
          <w:rFonts w:ascii="Liberation Sans" w:hAnsi="Liberation Sans"/>
          <w:b w:val="0"/>
          <w:i w:val="0"/>
          <w:color w:val="243447"/>
          <w:sz w:val="20"/>
        </w:rPr>
        <w:t>Apply the overlay at the environment boundary first, then parameterize by service. The recommended pattern is one gateway per environment or business-unit trust boundary, with one workspace per service or delivery domain. That keeps repository context, credentials, and incident history from bleeding across unrelated teams.</w:t>
      </w:r>
    </w:p>
    <w:p>
      <w:pPr>
        <w:pStyle w:val="ListBullet"/>
        <w:spacing w:after="60" w:line="269" w:lineRule="auto"/>
      </w:pPr>
      <w:r>
        <w:rPr>
          <w:rFonts w:ascii="Liberation Sans" w:hAnsi="Liberation Sans"/>
          <w:b w:val="0"/>
          <w:i w:val="0"/>
          <w:color w:val="243447"/>
          <w:sz w:val="20"/>
        </w:rPr>
        <w:t>Tenant level: engineering-wide policies, connector installations, default evaluation profiles, and role groups.</w:t>
      </w:r>
    </w:p>
    <w:p>
      <w:pPr>
        <w:pStyle w:val="ListBullet"/>
        <w:spacing w:after="60" w:line="269" w:lineRule="auto"/>
      </w:pPr>
      <w:r>
        <w:rPr>
          <w:rFonts w:ascii="Liberation Sans" w:hAnsi="Liberation Sans"/>
          <w:b w:val="0"/>
          <w:i w:val="0"/>
          <w:color w:val="243447"/>
          <w:sz w:val="20"/>
        </w:rPr>
        <w:t>Environment level: dev, staging, production, or regulated/trusted segments with separate runtime credentials and deployment rules.</w:t>
      </w:r>
    </w:p>
    <w:p>
      <w:pPr>
        <w:pStyle w:val="ListBullet"/>
        <w:spacing w:after="60" w:line="269" w:lineRule="auto"/>
      </w:pPr>
      <w:r>
        <w:rPr>
          <w:rFonts w:ascii="Liberation Sans" w:hAnsi="Liberation Sans"/>
          <w:b w:val="0"/>
          <w:i w:val="0"/>
          <w:color w:val="243447"/>
          <w:sz w:val="20"/>
        </w:rPr>
        <w:t>Service level: repo mapping, Linear team, Slack channel, Sentry project, and approval roles.</w:t>
      </w:r>
    </w:p>
    <w:p>
      <w:pPr>
        <w:pStyle w:val="ListBullet"/>
        <w:spacing w:after="60" w:line="269" w:lineRule="auto"/>
      </w:pPr>
      <w:r>
        <w:rPr>
          <w:rFonts w:ascii="Liberation Sans" w:hAnsi="Liberation Sans"/>
          <w:b w:val="0"/>
          <w:i w:val="0"/>
          <w:color w:val="243447"/>
          <w:sz w:val="20"/>
        </w:rPr>
        <w:t>Workspace level: implementation context, generated plans, temporary artifacts, and runtime telemetry for one service boundary.</w:t>
      </w:r>
    </w:p>
    <w:p>
      <w:pPr>
        <w:jc w:val="center"/>
      </w:pPr>
      <w:r>
        <w:drawing>
          <wp:inline xmlns:a="http://schemas.openxmlformats.org/drawingml/2006/main" xmlns:pic="http://schemas.openxmlformats.org/drawingml/2006/picture">
            <wp:extent cx="6217920" cy="2720340"/>
            <wp:docPr id="2" name="Picture 2"/>
            <wp:cNvGraphicFramePr>
              <a:graphicFrameLocks noChangeAspect="1"/>
            </wp:cNvGraphicFramePr>
            <a:graphic>
              <a:graphicData uri="http://schemas.openxmlformats.org/drawingml/2006/picture">
                <pic:pic>
                  <pic:nvPicPr>
                    <pic:cNvPr id="0" name="buildops_overlay_flow.png"/>
                    <pic:cNvPicPr/>
                  </pic:nvPicPr>
                  <pic:blipFill>
                    <a:blip r:embed="rId11"/>
                    <a:stretch>
                      <a:fillRect/>
                    </a:stretch>
                  </pic:blipFill>
                  <pic:spPr>
                    <a:xfrm>
                      <a:off x="0" y="0"/>
                      <a:ext cx="6217920" cy="2720340"/>
                    </a:xfrm>
                    <a:prstGeom prst="rect"/>
                  </pic:spPr>
                </pic:pic>
              </a:graphicData>
            </a:graphic>
          </wp:inline>
        </w:drawing>
      </w:r>
    </w:p>
    <w:p>
      <w:pPr>
        <w:jc w:val="center"/>
      </w:pPr>
      <w:r>
        <w:rPr>
          <w:rFonts w:ascii="Liberation Sans" w:hAnsi="Liberation Sans"/>
          <w:b w:val="0"/>
          <w:i/>
          <w:color w:val="667085"/>
          <w:sz w:val="18"/>
        </w:rPr>
        <w:t>Figure 2. MVP delivery conveyor recommended for the first AI BuildOps overlay rollout.</w:t>
      </w:r>
    </w:p>
    <w:p>
      <w:pPr>
        <w:pStyle w:val="Heading1"/>
        <w:spacing w:before="240" w:after="120"/>
      </w:pPr>
      <w:r>
        <w:rPr>
          <w:rFonts w:ascii="Liberation Sans" w:hAnsi="Liberation Sans"/>
          <w:b/>
          <w:color w:val="1F3A5F"/>
          <w:sz w:val="30"/>
        </w:rPr>
        <w:t>4. Canonical object mapping</w:t>
      </w:r>
    </w:p>
    <w:p>
      <w:pPr>
        <w:spacing w:after="140" w:line="276" w:lineRule="auto"/>
      </w:pPr>
      <w:r>
        <w:rPr>
          <w:rFonts w:ascii="Liberation Sans" w:hAnsi="Liberation Sans"/>
          <w:b w:val="0"/>
          <w:i w:val="0"/>
          <w:color w:val="243447"/>
          <w:sz w:val="20"/>
        </w:rPr>
        <w:t>The pack stays horizontal by using canonical delivery objects. Only connectors should understand vendor-specific field names and payload shapes.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208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Canonical object</w:t>
            </w:r>
          </w:p>
        </w:tc>
        <w:tc>
          <w:tcPr>
            <w:tcW w:type="dxa" w:w="223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source</w:t>
            </w:r>
          </w:p>
        </w:tc>
        <w:tc>
          <w:tcPr>
            <w:tcW w:type="dxa" w:w="223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Secondary source</w:t>
            </w:r>
          </w:p>
        </w:tc>
        <w:tc>
          <w:tcPr>
            <w:tcW w:type="dxa" w:w="352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Notes</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WorkItem</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Linear issue</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Slack or Sentry signal reference</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Planning ownership remains in Linear.</w:t>
            </w:r>
          </w:p>
        </w:tc>
      </w:tr>
      <w:tr>
        <w:tc>
          <w:tcPr>
            <w:tcW w:type="dxa" w:w="208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SpecArtifact</w:t>
            </w:r>
          </w:p>
        </w:tc>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artifact</w:t>
            </w:r>
          </w:p>
        </w:tc>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Linked back to Linear issue</w:t>
            </w:r>
          </w:p>
        </w:tc>
        <w:tc>
          <w:tcPr>
            <w:tcW w:type="dxa" w:w="352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The artifact is the auditable planning payload.</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CodeChange</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 branch / pull request</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Linear issue link</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Official code state stays in GitHub.</w:t>
            </w:r>
          </w:p>
        </w:tc>
      </w:tr>
      <w:tr>
        <w:tc>
          <w:tcPr>
            <w:tcW w:type="dxa" w:w="208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EvalRun</w:t>
            </w:r>
          </w:p>
        </w:tc>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run artifact</w:t>
            </w:r>
          </w:p>
        </w:tc>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GitHub CI status + Sentry baseline</w:t>
            </w:r>
          </w:p>
        </w:tc>
        <w:tc>
          <w:tcPr>
            <w:tcW w:type="dxa" w:w="352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Eval gate results must be replayable.</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ReleasePacket</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 release draft / artifact</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Slack summary link</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Release employee prepares, humans approve.</w:t>
            </w:r>
          </w:p>
        </w:tc>
      </w:tr>
      <w:tr>
        <w:tc>
          <w:tcPr>
            <w:tcW w:type="dxa" w:w="208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Incident</w:t>
            </w:r>
          </w:p>
        </w:tc>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Sentry issue / alert</w:t>
            </w:r>
          </w:p>
        </w:tc>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Slack alert thread</w:t>
            </w:r>
          </w:p>
        </w:tc>
        <w:tc>
          <w:tcPr>
            <w:tcW w:type="dxa" w:w="352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Sentry is the primary production-signal source.</w:t>
            </w:r>
          </w:p>
        </w:tc>
      </w:tr>
      <w:tr>
        <w:tc>
          <w:tcPr>
            <w:tcW w:type="dxa" w:w="208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RegressionCase</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Ruh.ai eval asset</w:t>
            </w:r>
          </w:p>
        </w:tc>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Linked incident / customer transcript</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Production failures should feed new regression coverage.</w:t>
            </w:r>
          </w:p>
        </w:tc>
      </w:tr>
    </w:tbl>
    <w:p>
      <w:pPr>
        <w:pStyle w:val="Heading1"/>
        <w:spacing w:before="240" w:after="120"/>
      </w:pPr>
      <w:r>
        <w:rPr>
          <w:rFonts w:ascii="Liberation Sans" w:hAnsi="Liberation Sans"/>
          <w:b/>
          <w:color w:val="1F3A5F"/>
          <w:sz w:val="30"/>
        </w:rPr>
        <w:t>5. Employee activation and permission envelope</w:t>
      </w:r>
    </w:p>
    <w:p>
      <w:pPr>
        <w:spacing w:after="140" w:line="276" w:lineRule="auto"/>
      </w:pPr>
      <w:r>
        <w:rPr>
          <w:rFonts w:ascii="Liberation Sans" w:hAnsi="Liberation Sans"/>
          <w:b w:val="0"/>
          <w:i w:val="0"/>
          <w:color w:val="243447"/>
          <w:sz w:val="20"/>
        </w:rPr>
        <w:t>The overlay should turn on employees one lane at a time and keep each one inside an explicit permission envelope. This is what makes the digital conveyor governed instead of chaotic.</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1800"/>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Employee</w:t>
            </w:r>
          </w:p>
        </w:tc>
        <w:tc>
          <w:tcPr>
            <w:tcW w:type="dxa" w:w="316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actions</w:t>
            </w:r>
          </w:p>
        </w:tc>
        <w:tc>
          <w:tcPr>
            <w:tcW w:type="dxa" w:w="194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Auto allowed</w:t>
            </w:r>
          </w:p>
        </w:tc>
        <w:tc>
          <w:tcPr>
            <w:tcW w:type="dxa" w:w="316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Approval required</w:t>
            </w:r>
          </w:p>
        </w:tc>
      </w:tr>
      <w:tr>
        <w:tc>
          <w:tcPr>
            <w:tcW w:type="dxa" w:w="180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Intake &amp; triage</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Normalize signals, de-duplicate, create work items</w:t>
            </w:r>
          </w:p>
        </w:tc>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Create Linear issues and Slack summaries</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Cross-team escalation outside mapped channels</w:t>
            </w:r>
          </w:p>
        </w:tc>
      </w:tr>
      <w:tr>
        <w:tc>
          <w:tcPr>
            <w:tcW w:type="dxa" w:w="180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Spec employee</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Draft problem statement, criteria, rollout notes</w:t>
            </w:r>
          </w:p>
        </w:tc>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Create or update structured spec artifact</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Major scope change comments back to customer-facing threads</w:t>
            </w:r>
          </w:p>
        </w:tc>
      </w:tr>
      <w:tr>
        <w:tc>
          <w:tcPr>
            <w:tcW w:type="dxa" w:w="180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Architecture planner</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Map touched services, risks, and test plan</w:t>
            </w:r>
          </w:p>
        </w:tc>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Internal plan artifacts</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None by default</w:t>
            </w:r>
          </w:p>
        </w:tc>
      </w:tr>
      <w:tr>
        <w:tc>
          <w:tcPr>
            <w:tcW w:type="dxa" w:w="180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Builder orchestrator</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Create branch, draft code changes, open PR</w:t>
            </w:r>
          </w:p>
        </w:tc>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Branch creation and PR open</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Merge to protected branch or write secrets</w:t>
            </w:r>
          </w:p>
        </w:tc>
      </w:tr>
      <w:tr>
        <w:tc>
          <w:tcPr>
            <w:tcW w:type="dxa" w:w="180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QA &amp; evals</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Run tests, eval suites, compare baselines</w:t>
            </w:r>
          </w:p>
        </w:tc>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Execute configured eval profiles</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Override failed release gate</w:t>
            </w:r>
          </w:p>
        </w:tc>
      </w:tr>
      <w:tr>
        <w:tc>
          <w:tcPr>
            <w:tcW w:type="dxa" w:w="180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Review &amp; release</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Prepare release packet and docs updates</w:t>
            </w:r>
          </w:p>
        </w:tc>
        <w:tc>
          <w:tcPr>
            <w:tcW w:type="dxa" w:w="194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Internal release draft and changelog</w:t>
            </w:r>
          </w:p>
        </w:tc>
        <w:tc>
          <w:tcPr>
            <w:tcW w:type="dxa" w:w="316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Production deployment or final merge</w:t>
            </w:r>
          </w:p>
        </w:tc>
      </w:tr>
      <w:tr>
        <w:tc>
          <w:tcPr>
            <w:tcW w:type="dxa" w:w="180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Incident &amp; feedback</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Draft RCA, open follow-ups, create regression cases</w:t>
            </w:r>
          </w:p>
        </w:tc>
        <w:tc>
          <w:tcPr>
            <w:tcW w:type="dxa" w:w="194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Internal incident summary and new eval stub</w:t>
            </w:r>
          </w:p>
        </w:tc>
        <w:tc>
          <w:tcPr>
            <w:tcW w:type="dxa" w:w="316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External incident communication</w:t>
            </w:r>
          </w:p>
        </w:tc>
      </w:tr>
    </w:tbl>
    <w:p>
      <w:pPr>
        <w:pStyle w:val="Heading1"/>
        <w:spacing w:before="240" w:after="120"/>
      </w:pPr>
      <w:r>
        <w:rPr>
          <w:rFonts w:ascii="Liberation Sans" w:hAnsi="Liberation Sans"/>
          <w:b/>
          <w:color w:val="1F3A5F"/>
          <w:sz w:val="30"/>
        </w:rPr>
        <w:t>6. Workflow activation plan</w:t>
      </w:r>
    </w:p>
    <w:p>
      <w:pPr>
        <w:spacing w:after="140" w:line="276" w:lineRule="auto"/>
      </w:pPr>
      <w:r>
        <w:rPr>
          <w:rFonts w:ascii="Liberation Sans" w:hAnsi="Liberation Sans"/>
          <w:b w:val="0"/>
          <w:i w:val="0"/>
          <w:color w:val="243447"/>
          <w:sz w:val="20"/>
        </w:rPr>
        <w:t>Do not activate the full conveyor on day one. Start with the narrowest slice that crosses the planning, code, and evaluation systems while leaving production control in human hands.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223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Workflow</w:t>
            </w:r>
          </w:p>
        </w:tc>
        <w:tc>
          <w:tcPr>
            <w:tcW w:type="dxa" w:w="309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Trigger</w:t>
            </w:r>
          </w:p>
        </w:tc>
        <w:tc>
          <w:tcPr>
            <w:tcW w:type="dxa" w:w="273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System of record</w:t>
            </w:r>
          </w:p>
        </w:tc>
        <w:tc>
          <w:tcPr>
            <w:tcW w:type="dxa" w:w="201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metric</w:t>
            </w:r>
          </w:p>
        </w:tc>
      </w:tr>
      <w:tr>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Intake -&gt; spec</w:t>
            </w:r>
          </w:p>
        </w:tc>
        <w:tc>
          <w:tcPr>
            <w:tcW w:type="dxa" w:w="309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Slack request, support signal, or incident-linked issue</w:t>
            </w:r>
          </w:p>
        </w:tc>
        <w:tc>
          <w:tcPr>
            <w:tcW w:type="dxa" w:w="273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Linear + Ruh.ai spec artifact</w:t>
            </w:r>
          </w:p>
        </w:tc>
        <w:tc>
          <w:tcPr>
            <w:tcW w:type="dxa" w:w="20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Time from signal to ready-for-build work item</w:t>
            </w:r>
          </w:p>
        </w:tc>
      </w:tr>
      <w:tr>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Spec -&gt; build</w:t>
            </w:r>
          </w:p>
        </w:tc>
        <w:tc>
          <w:tcPr>
            <w:tcW w:type="dxa" w:w="309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Approved spec artifact</w:t>
            </w:r>
          </w:p>
        </w:tc>
        <w:tc>
          <w:tcPr>
            <w:tcW w:type="dxa" w:w="273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GitHub PR + Linear state</w:t>
            </w:r>
          </w:p>
        </w:tc>
        <w:tc>
          <w:tcPr>
            <w:tcW w:type="dxa" w:w="20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Spec-to-PR cycle time</w:t>
            </w:r>
          </w:p>
        </w:tc>
      </w:tr>
      <w:tr>
        <w:tc>
          <w:tcPr>
            <w:tcW w:type="dxa" w:w="223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Eval + release prep</w:t>
            </w:r>
          </w:p>
        </w:tc>
        <w:tc>
          <w:tcPr>
            <w:tcW w:type="dxa" w:w="309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Ready-for-review PR or release candidate</w:t>
            </w:r>
          </w:p>
        </w:tc>
        <w:tc>
          <w:tcPr>
            <w:tcW w:type="dxa" w:w="273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 CI / release draft + Ruh.ai eval artifact</w:t>
            </w:r>
          </w:p>
        </w:tc>
        <w:tc>
          <w:tcPr>
            <w:tcW w:type="dxa" w:w="201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Gate pass rate and release prep time</w:t>
            </w:r>
          </w:p>
        </w:tc>
      </w:tr>
      <w:tr>
        <w:tc>
          <w:tcPr>
            <w:tcW w:type="dxa" w:w="223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Incident -&gt; regression loop</w:t>
            </w:r>
          </w:p>
        </w:tc>
        <w:tc>
          <w:tcPr>
            <w:tcW w:type="dxa" w:w="309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Sentry issue or release regression</w:t>
            </w:r>
          </w:p>
        </w:tc>
        <w:tc>
          <w:tcPr>
            <w:tcW w:type="dxa" w:w="273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Sentry + Ruh.ai regression case</w:t>
            </w:r>
          </w:p>
        </w:tc>
        <w:tc>
          <w:tcPr>
            <w:tcW w:type="dxa" w:w="201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Time from incident to new regression coverage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EAF6F3" w:val="clear"/>
            <w:tcMar>
              <w:top w:w="120" w:type="dxa"/>
              <w:start w:w="130" w:type="dxa"/>
              <w:bottom w:w="120" w:type="dxa"/>
              <w:end w:w="130" w:type="dxa"/>
            </w:tcMar>
          </w:tcPr>
          <w:p>
            <w:r>
              <w:rPr>
                <w:rFonts w:ascii="Liberation Sans" w:hAnsi="Liberation Sans"/>
                <w:b/>
                <w:i w:val="0"/>
                <w:color w:val="227A52"/>
                <w:sz w:val="22"/>
              </w:rPr>
              <w:t>Recommended pilot order</w:t>
              <w:br/>
            </w:r>
            <w:r>
              <w:rPr>
                <w:rFonts w:ascii="Liberation Sans" w:hAnsi="Liberation Sans"/>
                <w:b w:val="0"/>
                <w:i w:val="0"/>
                <w:color w:val="243447"/>
                <w:sz w:val="20"/>
              </w:rPr>
              <w:t>Week 1-2: intake, work normalization, and spec drafting only, with no builder permissions.</w:t>
            </w:r>
            <w:r>
              <w:br/>
            </w:r>
            <w:r>
              <w:rPr>
                <w:rFonts w:ascii="Liberation Sans" w:hAnsi="Liberation Sans"/>
                <w:b w:val="0"/>
                <w:i w:val="0"/>
                <w:color w:val="243447"/>
                <w:sz w:val="20"/>
              </w:rPr>
              <w:t>Week 3-4: enable builder orchestration for branch + PR creation in one non-critical service.</w:t>
            </w:r>
            <w:r>
              <w:br/>
            </w:r>
            <w:r>
              <w:rPr>
                <w:rFonts w:ascii="Liberation Sans" w:hAnsi="Liberation Sans"/>
                <w:b w:val="0"/>
                <w:i w:val="0"/>
                <w:color w:val="243447"/>
                <w:sz w:val="20"/>
              </w:rPr>
              <w:t>Week 5-6: add QA/evals and release packet generation behind explicit approval gates.</w:t>
            </w:r>
            <w:r>
              <w:br/>
            </w:r>
            <w:r>
              <w:rPr>
                <w:rFonts w:ascii="Liberation Sans" w:hAnsi="Liberation Sans"/>
                <w:b w:val="0"/>
                <w:i w:val="0"/>
                <w:color w:val="243447"/>
                <w:sz w:val="20"/>
              </w:rPr>
              <w:t>Week 7-8: add incident-to-regression loop using Sentry for one production service.</w:t>
            </w:r>
          </w:p>
        </w:tc>
      </w:tr>
    </w:tbl>
    <w:p>
      <w:pPr>
        <w:pStyle w:val="Heading1"/>
        <w:spacing w:before="240" w:after="120"/>
      </w:pPr>
      <w:r>
        <w:rPr>
          <w:rFonts w:ascii="Liberation Sans" w:hAnsi="Liberation Sans"/>
          <w:b/>
          <w:color w:val="1F3A5F"/>
          <w:sz w:val="30"/>
        </w:rPr>
        <w:t>7. Connector profile and secrets inventory</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151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Connector</w:t>
            </w:r>
          </w:p>
        </w:tc>
        <w:tc>
          <w:tcPr>
            <w:tcW w:type="dxa" w:w="331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Required access</w:t>
            </w:r>
          </w:p>
        </w:tc>
        <w:tc>
          <w:tcPr>
            <w:tcW w:type="dxa" w:w="259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Secret reference pattern</w:t>
            </w:r>
          </w:p>
        </w:tc>
        <w:tc>
          <w:tcPr>
            <w:tcW w:type="dxa" w:w="2664"/>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Health check</w:t>
            </w:r>
          </w:p>
        </w:tc>
      </w:tr>
      <w:tr>
        <w:tc>
          <w:tcPr>
            <w:tcW w:type="dxa" w:w="15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w:t>
            </w:r>
          </w:p>
        </w:tc>
        <w:tc>
          <w:tcPr>
            <w:tcW w:type="dxa" w:w="33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Repo read/write for configured automation actions, PR metadata, CI status</w:t>
            </w:r>
          </w:p>
        </w:tc>
        <w:tc>
          <w:tcPr>
            <w:tcW w:type="dxa" w:w="259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secretref://connectors/github/*</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List repos + create test branch in sandbox repo</w:t>
            </w:r>
          </w:p>
        </w:tc>
      </w:tr>
      <w:tr>
        <w:tc>
          <w:tcPr>
            <w:tcW w:type="dxa" w:w="15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Linear</w:t>
            </w:r>
          </w:p>
        </w:tc>
        <w:tc>
          <w:tcPr>
            <w:tcW w:type="dxa" w:w="33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Issue create/update, team and workflow read</w:t>
            </w:r>
          </w:p>
        </w:tc>
        <w:tc>
          <w:tcPr>
            <w:tcW w:type="dxa" w:w="259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secretref://connectors/linear/*</w:t>
            </w:r>
          </w:p>
        </w:tc>
        <w:tc>
          <w:tcPr>
            <w:tcW w:type="dxa" w:w="266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Read team map + create dry-run issue</w:t>
            </w:r>
          </w:p>
        </w:tc>
      </w:tr>
      <w:tr>
        <w:tc>
          <w:tcPr>
            <w:tcW w:type="dxa" w:w="15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Slack</w:t>
            </w:r>
          </w:p>
        </w:tc>
        <w:tc>
          <w:tcPr>
            <w:tcW w:type="dxa" w:w="33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Post messages, receive app mentions/events, create approval prompts</w:t>
            </w:r>
          </w:p>
        </w:tc>
        <w:tc>
          <w:tcPr>
            <w:tcW w:type="dxa" w:w="259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secretref://connectors/slack/*</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Post test approval card and receipt</w:t>
            </w:r>
          </w:p>
        </w:tc>
      </w:tr>
      <w:tr>
        <w:tc>
          <w:tcPr>
            <w:tcW w:type="dxa" w:w="15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Sentry</w:t>
            </w:r>
          </w:p>
        </w:tc>
        <w:tc>
          <w:tcPr>
            <w:tcW w:type="dxa" w:w="33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Read issues, releases, alert metadata; optional annotations</w:t>
            </w:r>
          </w:p>
        </w:tc>
        <w:tc>
          <w:tcPr>
            <w:tcW w:type="dxa" w:w="259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secretref://connectors/sentry/*</w:t>
            </w:r>
          </w:p>
        </w:tc>
        <w:tc>
          <w:tcPr>
            <w:tcW w:type="dxa" w:w="2664"/>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List projects + fetch recent issue</w:t>
            </w:r>
          </w:p>
        </w:tc>
      </w:tr>
      <w:tr>
        <w:tc>
          <w:tcPr>
            <w:tcW w:type="dxa" w:w="15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Ruh runtime</w:t>
            </w:r>
          </w:p>
        </w:tc>
        <w:tc>
          <w:tcPr>
            <w:tcW w:type="dxa" w:w="33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Bundle apply, task execution, telemetry upload</w:t>
            </w:r>
          </w:p>
        </w:tc>
        <w:tc>
          <w:tcPr>
            <w:tcW w:type="dxa" w:w="259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secretref://runtime/*</w:t>
            </w:r>
          </w:p>
        </w:tc>
        <w:tc>
          <w:tcPr>
            <w:tcW w:type="dxa" w:w="2664"/>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Adapter heartbeat + bundle checksum verification</w:t>
            </w:r>
          </w:p>
        </w:tc>
      </w:tr>
    </w:tbl>
    <w:p>
      <w:pPr>
        <w:spacing w:after="140" w:line="276" w:lineRule="auto"/>
      </w:pPr>
      <w:r>
        <w:rPr>
          <w:rFonts w:ascii="Liberation Sans" w:hAnsi="Liberation Sans"/>
          <w:b w:val="0"/>
          <w:i w:val="0"/>
          <w:color w:val="243447"/>
          <w:sz w:val="20"/>
        </w:rPr>
        <w:t>The overlay should never receive raw credentials in source-controlled files. All tokens and app secrets are injected via the platform secrets broker and referenced only by stable secret IDs.</w:t>
      </w:r>
    </w:p>
    <w:p>
      <w:pPr>
        <w:pStyle w:val="Heading1"/>
        <w:spacing w:before="240" w:after="120"/>
      </w:pPr>
      <w:r>
        <w:rPr>
          <w:rFonts w:ascii="Liberation Sans" w:hAnsi="Liberation Sans"/>
          <w:b/>
          <w:color w:val="1F3A5F"/>
          <w:sz w:val="30"/>
        </w:rPr>
        <w:t>8. Policy and approval overlay</w:t>
      </w:r>
    </w:p>
    <w:p>
      <w:pPr>
        <w:spacing w:after="140" w:line="276" w:lineRule="auto"/>
      </w:pPr>
      <w:r>
        <w:rPr>
          <w:rFonts w:ascii="Liberation Sans" w:hAnsi="Liberation Sans"/>
          <w:b w:val="0"/>
          <w:i w:val="0"/>
          <w:color w:val="243447"/>
          <w:sz w:val="20"/>
        </w:rPr>
        <w:t>Build automation becomes dangerous the moment it can silently merge, deploy, or communicate externally. The overlay therefore makes protected actions explicit and records why any gate was overridden.</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556"/>
        <w:gridCol w:w="2556"/>
        <w:gridCol w:w="2556"/>
        <w:gridCol w:w="2556"/>
      </w:tblGrid>
      <w:tr>
        <w:tc>
          <w:tcPr>
            <w:tcW w:type="dxa" w:w="1152"/>
            <w:shd w:fill="1F3A5F" w:val="clear"/>
            <w:tcMar>
              <w:top w:w="90" w:type="dxa"/>
              <w:start w:w="90" w:type="dxa"/>
              <w:bottom w:w="90" w:type="dxa"/>
              <w:end w:w="90" w:type="dxa"/>
            </w:tcMar>
            <w:vAlign w:val="center"/>
          </w:tcPr>
          <w:p>
            <w:pPr>
              <w:jc w:val="center"/>
            </w:pPr>
            <w:r>
              <w:rPr>
                <w:rFonts w:ascii="Liberation Sans" w:hAnsi="Liberation Sans"/>
                <w:b/>
                <w:i w:val="0"/>
                <w:color w:val="FFFFFF"/>
                <w:sz w:val="18"/>
              </w:rPr>
              <w:t>Risk tier</w:t>
            </w:r>
          </w:p>
        </w:tc>
        <w:tc>
          <w:tcPr>
            <w:tcW w:type="dxa" w:w="460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Examples</w:t>
            </w:r>
          </w:p>
        </w:tc>
        <w:tc>
          <w:tcPr>
            <w:tcW w:type="dxa" w:w="187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Default policy</w:t>
            </w:r>
          </w:p>
        </w:tc>
        <w:tc>
          <w:tcPr>
            <w:tcW w:type="dxa" w:w="244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Approver</w:t>
            </w:r>
          </w:p>
        </w:tc>
      </w:tr>
      <w:tr>
        <w:tc>
          <w:tcPr>
            <w:tcW w:type="dxa" w:w="1152"/>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Low</w:t>
            </w:r>
          </w:p>
        </w:tc>
        <w:tc>
          <w:tcPr>
            <w:tcW w:type="dxa" w:w="460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Issue creation, spec draft, branch creation, internal digest</w:t>
            </w:r>
          </w:p>
        </w:tc>
        <w:tc>
          <w:tcPr>
            <w:tcW w:type="dxa" w:w="18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Auto allowed</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None</w:t>
            </w:r>
          </w:p>
        </w:tc>
      </w:tr>
      <w:tr>
        <w:tc>
          <w:tcPr>
            <w:tcW w:type="dxa" w:w="1152"/>
            <w:tcMar>
              <w:top w:w="70" w:type="dxa"/>
              <w:start w:w="90" w:type="dxa"/>
              <w:bottom w:w="70" w:type="dxa"/>
              <w:end w:w="90" w:type="dxa"/>
            </w:tcMar>
            <w:vAlign w:val="center"/>
            <w:shd w:fill="FFFFFF" w:val="clear"/>
          </w:tcPr>
          <w:p>
            <w:pPr>
              <w:spacing w:after="40" w:line="259" w:lineRule="auto"/>
              <w:jc w:val="center"/>
            </w:pPr>
            <w:r>
              <w:rPr>
                <w:rFonts w:ascii="Liberation Sans" w:hAnsi="Liberation Sans"/>
                <w:b w:val="0"/>
                <w:i w:val="0"/>
                <w:color w:val="243447"/>
                <w:sz w:val="18"/>
              </w:rPr>
              <w:t>Medium</w:t>
            </w:r>
          </w:p>
        </w:tc>
        <w:tc>
          <w:tcPr>
            <w:tcW w:type="dxa" w:w="460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Open PR, update release draft, create regression case in shared repo</w:t>
            </w:r>
          </w:p>
        </w:tc>
        <w:tc>
          <w:tcPr>
            <w:tcW w:type="dxa" w:w="187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Approval required or auto-allowed by service policy</w:t>
            </w:r>
          </w:p>
        </w:tc>
        <w:tc>
          <w:tcPr>
            <w:tcW w:type="dxa" w:w="244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Repo owner or release lead</w:t>
            </w:r>
          </w:p>
        </w:tc>
      </w:tr>
      <w:tr>
        <w:tc>
          <w:tcPr>
            <w:tcW w:type="dxa" w:w="1152"/>
            <w:tcMar>
              <w:top w:w="70" w:type="dxa"/>
              <w:start w:w="90" w:type="dxa"/>
              <w:bottom w:w="70" w:type="dxa"/>
              <w:end w:w="90" w:type="dxa"/>
            </w:tcMar>
            <w:vAlign w:val="center"/>
            <w:shd w:fill="F8FAFC" w:val="clear"/>
          </w:tcPr>
          <w:p>
            <w:pPr>
              <w:spacing w:after="40" w:line="259" w:lineRule="auto"/>
              <w:jc w:val="center"/>
            </w:pPr>
            <w:r>
              <w:rPr>
                <w:rFonts w:ascii="Liberation Sans" w:hAnsi="Liberation Sans"/>
                <w:b w:val="0"/>
                <w:i w:val="0"/>
                <w:color w:val="243447"/>
                <w:sz w:val="18"/>
              </w:rPr>
              <w:t>High</w:t>
            </w:r>
          </w:p>
        </w:tc>
        <w:tc>
          <w:tcPr>
            <w:tcW w:type="dxa" w:w="460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Merge protected branch, deploy production, external incident message</w:t>
            </w:r>
          </w:p>
        </w:tc>
        <w:tc>
          <w:tcPr>
            <w:tcW w:type="dxa" w:w="187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Human only or approval required</w:t>
            </w:r>
          </w:p>
        </w:tc>
        <w:tc>
          <w:tcPr>
            <w:tcW w:type="dxa" w:w="244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Release manager / on-call lead / service owner</w:t>
            </w:r>
          </w:p>
        </w:tc>
      </w:tr>
    </w:tbl>
    <w:p>
      <w:pPr>
        <w:pStyle w:val="ListBullet"/>
        <w:spacing w:after="60" w:line="269" w:lineRule="auto"/>
      </w:pPr>
      <w:r>
        <w:rPr>
          <w:rFonts w:ascii="Liberation Sans" w:hAnsi="Liberation Sans"/>
          <w:b w:val="0"/>
          <w:i w:val="0"/>
          <w:color w:val="243447"/>
          <w:sz w:val="20"/>
        </w:rPr>
        <w:t>No production deployment action should execute unless the overlay can prove the required eval profile passed and the named approver accepted the action.</w:t>
      </w:r>
    </w:p>
    <w:p>
      <w:pPr>
        <w:pStyle w:val="ListBullet"/>
        <w:spacing w:after="60" w:line="269" w:lineRule="auto"/>
      </w:pPr>
      <w:r>
        <w:rPr>
          <w:rFonts w:ascii="Liberation Sans" w:hAnsi="Liberation Sans"/>
          <w:b w:val="0"/>
          <w:i w:val="0"/>
          <w:color w:val="243447"/>
          <w:sz w:val="20"/>
        </w:rPr>
        <w:t>Any missing service mapping, unknown repo, or ambiguous incident ownership should block automation and route to manual triage.</w:t>
      </w:r>
    </w:p>
    <w:p>
      <w:pPr>
        <w:pStyle w:val="ListBullet"/>
        <w:spacing w:after="60" w:line="269" w:lineRule="auto"/>
      </w:pPr>
      <w:r>
        <w:rPr>
          <w:rFonts w:ascii="Liberation Sans" w:hAnsi="Liberation Sans"/>
          <w:b w:val="0"/>
          <w:i w:val="0"/>
          <w:color w:val="243447"/>
          <w:sz w:val="20"/>
        </w:rPr>
        <w:t>Every gate override must capture the approver, reason code, and linked work item or incident.</w:t>
      </w:r>
    </w:p>
    <w:p>
      <w:pPr>
        <w:pStyle w:val="Heading1"/>
        <w:spacing w:before="240" w:after="120"/>
      </w:pPr>
      <w:r>
        <w:rPr>
          <w:rFonts w:ascii="Liberation Sans" w:hAnsi="Liberation Sans"/>
          <w:b/>
          <w:color w:val="1F3A5F"/>
          <w:sz w:val="30"/>
        </w:rPr>
        <w:t>9. Notification, routing, and record ownership rules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3408"/>
        <w:gridCol w:w="3408"/>
        <w:gridCol w:w="3408"/>
      </w:tblGrid>
      <w:tr>
        <w:tc>
          <w:tcPr>
            <w:tcW w:type="dxa" w:w="2376"/>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Artifact / event</w:t>
            </w:r>
          </w:p>
        </w:tc>
        <w:tc>
          <w:tcPr>
            <w:tcW w:type="dxa" w:w="3528"/>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Primary destination</w:t>
            </w:r>
          </w:p>
        </w:tc>
        <w:tc>
          <w:tcPr>
            <w:tcW w:type="dxa" w:w="2880"/>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Owner of record</w:t>
            </w:r>
          </w:p>
        </w:tc>
      </w:tr>
      <w:tr>
        <w:tc>
          <w:tcPr>
            <w:tcW w:type="dxa" w:w="237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New work item</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Linear issue + Slack summary</w:t>
            </w:r>
          </w:p>
        </w:tc>
        <w:tc>
          <w:tcPr>
            <w:tcW w:type="dxa" w:w="288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Linear</w:t>
            </w:r>
          </w:p>
        </w:tc>
      </w:tr>
      <w:tr>
        <w:tc>
          <w:tcPr>
            <w:tcW w:type="dxa" w:w="237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Spec artifact</w:t>
            </w:r>
          </w:p>
        </w:tc>
        <w:tc>
          <w:tcPr>
            <w:tcW w:type="dxa" w:w="352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artifact + link posted in Slack</w:t>
            </w:r>
          </w:p>
        </w:tc>
        <w:tc>
          <w:tcPr>
            <w:tcW w:type="dxa" w:w="288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artifact linked to Linear</w:t>
            </w:r>
          </w:p>
        </w:tc>
      </w:tr>
      <w:tr>
        <w:tc>
          <w:tcPr>
            <w:tcW w:type="dxa" w:w="237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Pull request</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 PR + Slack state message</w:t>
            </w:r>
          </w:p>
        </w:tc>
        <w:tc>
          <w:tcPr>
            <w:tcW w:type="dxa" w:w="288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w:t>
            </w:r>
          </w:p>
        </w:tc>
      </w:tr>
      <w:tr>
        <w:tc>
          <w:tcPr>
            <w:tcW w:type="dxa" w:w="237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Eval summary</w:t>
            </w:r>
          </w:p>
        </w:tc>
        <w:tc>
          <w:tcPr>
            <w:tcW w:type="dxa" w:w="352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eval artifact + GitHub status context</w:t>
            </w:r>
          </w:p>
        </w:tc>
        <w:tc>
          <w:tcPr>
            <w:tcW w:type="dxa" w:w="288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Ruh.ai eval artifact</w:t>
            </w:r>
          </w:p>
        </w:tc>
      </w:tr>
      <w:tr>
        <w:tc>
          <w:tcPr>
            <w:tcW w:type="dxa" w:w="2376"/>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Release packet</w:t>
            </w:r>
          </w:p>
        </w:tc>
        <w:tc>
          <w:tcPr>
            <w:tcW w:type="dxa" w:w="3528"/>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 release draft + Slack approval prompt</w:t>
            </w:r>
          </w:p>
        </w:tc>
        <w:tc>
          <w:tcPr>
            <w:tcW w:type="dxa" w:w="288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GitHub release draft</w:t>
            </w:r>
          </w:p>
        </w:tc>
      </w:tr>
      <w:tr>
        <w:tc>
          <w:tcPr>
            <w:tcW w:type="dxa" w:w="2376"/>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Incident summary</w:t>
            </w:r>
          </w:p>
        </w:tc>
        <w:tc>
          <w:tcPr>
            <w:tcW w:type="dxa" w:w="3528"/>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Slack alert thread + linked follow-up tasks</w:t>
            </w:r>
          </w:p>
        </w:tc>
        <w:tc>
          <w:tcPr>
            <w:tcW w:type="dxa" w:w="288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Sentry issue + Ruh.ai RCA artifact</w:t>
            </w:r>
          </w:p>
        </w:tc>
      </w:tr>
    </w:tbl>
    <w:p>
      <w:pPr>
        <w:spacing w:after="140" w:line="276" w:lineRule="auto"/>
      </w:pPr>
      <w:r>
        <w:rPr>
          <w:rFonts w:ascii="Liberation Sans" w:hAnsi="Liberation Sans"/>
          <w:b w:val="0"/>
          <w:i w:val="0"/>
          <w:color w:val="243447"/>
          <w:sz w:val="20"/>
        </w:rPr>
        <w:t>Slack is the conversation surface, not the canonical record. The overlay should always post links back to GitHub, Linear, Sentry, or stored Ruh.ai artifacts rather than treating chat messages as the source of truth.</w:t>
      </w:r>
    </w:p>
    <w:p>
      <w:pPr>
        <w:pStyle w:val="Heading1"/>
        <w:spacing w:before="240" w:after="120"/>
      </w:pPr>
      <w:r>
        <w:rPr>
          <w:rFonts w:ascii="Liberation Sans" w:hAnsi="Liberation Sans"/>
          <w:b/>
          <w:color w:val="1F3A5F"/>
          <w:sz w:val="30"/>
        </w:rPr>
        <w:t>10. Pilot acceptance gates and success metrics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5112"/>
        <w:gridCol w:w="5112"/>
      </w:tblGrid>
      <w:tr>
        <w:tc>
          <w:tcPr>
            <w:tcW w:type="dxa" w:w="2520"/>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Gate</w:t>
            </w:r>
          </w:p>
        </w:tc>
        <w:tc>
          <w:tcPr>
            <w:tcW w:type="dxa" w:w="6912"/>
            <w:shd w:fill="1F3A5F" w:val="clear"/>
            <w:tcMar>
              <w:top w:w="90" w:type="dxa"/>
              <w:start w:w="90" w:type="dxa"/>
              <w:bottom w:w="90" w:type="dxa"/>
              <w:end w:w="90" w:type="dxa"/>
            </w:tcMar>
            <w:vAlign w:val="center"/>
          </w:tcPr>
          <w:p>
            <w:pPr>
              <w:jc w:val="left"/>
            </w:pPr>
            <w:r>
              <w:rPr>
                <w:rFonts w:ascii="Liberation Sans" w:hAnsi="Liberation Sans"/>
                <w:b/>
                <w:i w:val="0"/>
                <w:color w:val="FFFFFF"/>
                <w:sz w:val="18"/>
              </w:rPr>
              <w:t>Target before go-live</w:t>
            </w:r>
          </w:p>
        </w:tc>
      </w:tr>
      <w:tr>
        <w:tc>
          <w:tcPr>
            <w:tcW w:type="dxa" w:w="252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Connector auth</w:t>
            </w:r>
          </w:p>
        </w:tc>
        <w:tc>
          <w:tcPr>
            <w:tcW w:type="dxa" w:w="69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All four external connectors pass least-privilege review and health checks.</w:t>
            </w:r>
          </w:p>
        </w:tc>
      </w:tr>
      <w:tr>
        <w:tc>
          <w:tcPr>
            <w:tcW w:type="dxa" w:w="252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Routing quality</w:t>
            </w:r>
          </w:p>
        </w:tc>
        <w:tc>
          <w:tcPr>
            <w:tcW w:type="dxa" w:w="69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At least 95% of pilot signals route to the correct service/team in replay.</w:t>
            </w:r>
          </w:p>
        </w:tc>
      </w:tr>
      <w:tr>
        <w:tc>
          <w:tcPr>
            <w:tcW w:type="dxa" w:w="252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Eval discipline</w:t>
            </w:r>
          </w:p>
        </w:tc>
        <w:tc>
          <w:tcPr>
            <w:tcW w:type="dxa" w:w="69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100% of release-candidate runs execute the required eval profile.</w:t>
            </w:r>
          </w:p>
        </w:tc>
      </w:tr>
      <w:tr>
        <w:tc>
          <w:tcPr>
            <w:tcW w:type="dxa" w:w="2520"/>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Protected-action compliance</w:t>
            </w:r>
          </w:p>
        </w:tc>
        <w:tc>
          <w:tcPr>
            <w:tcW w:type="dxa" w:w="6912"/>
            <w:tcMar>
              <w:top w:w="70" w:type="dxa"/>
              <w:start w:w="90" w:type="dxa"/>
              <w:bottom w:w="70" w:type="dxa"/>
              <w:end w:w="90" w:type="dxa"/>
            </w:tcMar>
            <w:vAlign w:val="center"/>
            <w:shd w:fill="FFFFFF" w:val="clear"/>
          </w:tcPr>
          <w:p>
            <w:pPr>
              <w:spacing w:after="40" w:line="259" w:lineRule="auto"/>
              <w:jc w:val="left"/>
            </w:pPr>
            <w:r>
              <w:rPr>
                <w:rFonts w:ascii="Liberation Sans" w:hAnsi="Liberation Sans"/>
                <w:b w:val="0"/>
                <w:i w:val="0"/>
                <w:color w:val="243447"/>
                <w:sz w:val="18"/>
              </w:rPr>
              <w:t>No merge/deploy action occurs without the required approval record.</w:t>
            </w:r>
          </w:p>
        </w:tc>
      </w:tr>
      <w:tr>
        <w:tc>
          <w:tcPr>
            <w:tcW w:type="dxa" w:w="2520"/>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Cycle-time impact</w:t>
            </w:r>
          </w:p>
        </w:tc>
        <w:tc>
          <w:tcPr>
            <w:tcW w:type="dxa" w:w="6912"/>
            <w:tcMar>
              <w:top w:w="70" w:type="dxa"/>
              <w:start w:w="90" w:type="dxa"/>
              <w:bottom w:w="70" w:type="dxa"/>
              <w:end w:w="90" w:type="dxa"/>
            </w:tcMar>
            <w:vAlign w:val="center"/>
            <w:shd w:fill="F8FAFC" w:val="clear"/>
          </w:tcPr>
          <w:p>
            <w:pPr>
              <w:spacing w:after="40" w:line="259" w:lineRule="auto"/>
              <w:jc w:val="left"/>
            </w:pPr>
            <w:r>
              <w:rPr>
                <w:rFonts w:ascii="Liberation Sans" w:hAnsi="Liberation Sans"/>
                <w:b w:val="0"/>
                <w:i w:val="0"/>
                <w:color w:val="243447"/>
                <w:sz w:val="18"/>
              </w:rPr>
              <w:t>Pilot shows measurable reduction in signal-to-spec or spec-to-PR time.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EEF4FB" w:val="clear"/>
            <w:tcMar>
              <w:top w:w="120" w:type="dxa"/>
              <w:start w:w="130" w:type="dxa"/>
              <w:bottom w:w="120" w:type="dxa"/>
              <w:end w:w="130" w:type="dxa"/>
            </w:tcMar>
          </w:tcPr>
          <w:p>
            <w:r>
              <w:rPr>
                <w:rFonts w:ascii="Liberation Sans" w:hAnsi="Liberation Sans"/>
                <w:b/>
                <w:i w:val="0"/>
                <w:color w:val="1D4ED8"/>
                <w:sz w:val="22"/>
              </w:rPr>
              <w:t>Recommended pilot KPIs</w:t>
              <w:br/>
            </w:r>
            <w:r>
              <w:rPr>
                <w:rFonts w:ascii="Liberation Sans" w:hAnsi="Liberation Sans"/>
                <w:b w:val="0"/>
                <w:i w:val="0"/>
                <w:color w:val="243447"/>
                <w:sz w:val="20"/>
              </w:rPr>
              <w:t>Signal-to-spec turnaround time</w:t>
            </w:r>
            <w:r>
              <w:br/>
            </w:r>
            <w:r>
              <w:rPr>
                <w:rFonts w:ascii="Liberation Sans" w:hAnsi="Liberation Sans"/>
                <w:b w:val="0"/>
                <w:i w:val="0"/>
                <w:color w:val="243447"/>
                <w:sz w:val="20"/>
              </w:rPr>
              <w:t>Spec-to-PR cycle time</w:t>
            </w:r>
            <w:r>
              <w:br/>
            </w:r>
            <w:r>
              <w:rPr>
                <w:rFonts w:ascii="Liberation Sans" w:hAnsi="Liberation Sans"/>
                <w:b w:val="0"/>
                <w:i w:val="0"/>
                <w:color w:val="243447"/>
                <w:sz w:val="20"/>
              </w:rPr>
              <w:t>Eval pass rate before release</w:t>
            </w:r>
            <w:r>
              <w:br/>
            </w:r>
            <w:r>
              <w:rPr>
                <w:rFonts w:ascii="Liberation Sans" w:hAnsi="Liberation Sans"/>
                <w:b w:val="0"/>
                <w:i w:val="0"/>
                <w:color w:val="243447"/>
                <w:sz w:val="20"/>
              </w:rPr>
              <w:t>Incident-to-regression-case turnaround time</w:t>
            </w:r>
            <w:r>
              <w:br/>
            </w:r>
            <w:r>
              <w:rPr>
                <w:rFonts w:ascii="Liberation Sans" w:hAnsi="Liberation Sans"/>
                <w:b w:val="0"/>
                <w:i w:val="0"/>
                <w:color w:val="243447"/>
                <w:sz w:val="20"/>
              </w:rPr>
              <w:t>Hours saved per engineering manager or tech lead per week</w:t>
            </w:r>
          </w:p>
        </w:tc>
      </w:tr>
    </w:tbl>
    <w:p>
      <w:pPr>
        <w:pStyle w:val="Heading1"/>
        <w:spacing w:before="240" w:after="120"/>
      </w:pPr>
      <w:r>
        <w:rPr>
          <w:rFonts w:ascii="Liberation Sans" w:hAnsi="Liberation Sans"/>
          <w:b/>
          <w:color w:val="1F3A5F"/>
          <w:sz w:val="30"/>
        </w:rPr>
        <w:t>11. Example overlay excerpt</w:t>
      </w:r>
    </w:p>
    <w:p>
      <w:pPr>
        <w:spacing w:after="140" w:line="276" w:lineRule="auto"/>
      </w:pPr>
      <w:r>
        <w:rPr>
          <w:rFonts w:ascii="Liberation Sans" w:hAnsi="Liberation Sans"/>
          <w:b w:val="0"/>
          <w:i w:val="0"/>
          <w:color w:val="243447"/>
          <w:sz w:val="20"/>
        </w:rPr>
        <w:t>The full starter file is provided separately with this kit. The excerpt below shows the intended structure and the major fields platform and solution engineers are expected to fill.</w:t>
      </w:r>
    </w:p>
    <w:tbl>
      <w:tblPr>
        <w:tblW w:type="auto" w:w="0"/>
        <w:jc w:val="center"/>
        <w:tblLayout w:type="fixed"/>
        <w:tblLook w:firstColumn="1" w:firstRow="1" w:lastColumn="0" w:lastRow="0" w:noHBand="0" w:noVBand="1" w:val="04A0"/>
        <w:tblBorders>
          <w:top w:val="single" w:sz="5" w:color="D1D5DB"/>
          <w:left w:val="single" w:sz="5" w:color="D1D5DB"/>
          <w:bottom w:val="single" w:sz="5" w:color="D1D5DB"/>
          <w:right w:val="single" w:sz="5" w:color="D1D5DB"/>
          <w:insideH w:val="single" w:sz="5" w:color="D1D5DB"/>
          <w:insideV w:val="single" w:sz="5" w:color="D1D5DB"/>
        </w:tblBorders>
      </w:tblPr>
      <w:tblGrid>
        <w:gridCol w:w="10080"/>
      </w:tblGrid>
      <w:tr>
        <w:tc>
          <w:tcPr>
            <w:tcW w:type="dxa" w:w="10224"/>
            <w:shd w:fill="F8FAFC" w:val="clear"/>
            <w:tcMar>
              <w:top w:w="100" w:type="dxa"/>
              <w:start w:w="100" w:type="dxa"/>
              <w:bottom w:w="100" w:type="dxa"/>
              <w:end w:w="100" w:type="dxa"/>
            </w:tcMar>
          </w:tcPr>
          <w:p>
            <w:pPr>
              <w:spacing w:after="0" w:line="252" w:lineRule="auto"/>
            </w:pPr>
            <w:r>
              <w:rPr>
                <w:rFonts w:ascii="DejaVu Sans Mono" w:hAnsi="DejaVu Sans Mono"/>
                <w:color w:val="334155"/>
                <w:sz w:val="16"/>
              </w:rPr>
              <w:t>kind: tenantOverlay</w:t>
              <w:br/>
              <w:t>apiVersion: ruh.ai/v1alpha1</w:t>
              <w:br/>
              <w:t>metadata:</w:t>
              <w:br/>
              <w:t xml:space="preserve">  overlayId: ai-buildops.github-linear-slack-sentry</w:t>
              <w:br/>
              <w:t xml:space="preserve">  packRef: ai-buildops@1.0.0</w:t>
              <w:br/>
              <w:t xml:space="preserve">  displayName: GitHub + Linear + Slack + Sentry overlay</w:t>
              <w:br/>
              <w:t xml:space="preserve">  owner: platform-solutions</w:t>
              <w:br/>
              <w:t xml:space="preserve">  environmentClass: production</w:t>
              <w:br/>
              <w:t xml:space="preserve">  version: 0.1.0</w:t>
              <w:br/>
              <w:t>trustBoundary:</w:t>
              <w:br/>
              <w:t xml:space="preserve">  key: product-prod-core</w:t>
              <w:br/>
              <w:t xml:space="preserve">  runtimeProfile: prod</w:t>
              <w:br/>
              <w:t xml:space="preserve">  gateway:</w:t>
              <w:br/>
              <w:t xml:space="preserve">    mode: dedicated</w:t>
              <w:br/>
              <w:t xml:space="preserve">    workspaceStrategy: service-per-workspace</w:t>
              <w:br/>
              <w:t xml:space="preserve">    sandbox:</w:t>
              <w:br/>
              <w:t xml:space="preserve">      mode: non-main</w:t>
              <w:br/>
              <w:t xml:space="preserve">      scope: agent</w:t>
              <w:br/>
              <w:t>services:</w:t>
              <w:br/>
              <w:t xml:space="preserve">  catalog:</w:t>
              <w:br/>
              <w:t xml:space="preserve">    - key: api</w:t>
              <w:br/>
              <w:t xml:space="preserve">      repo: github:acme/api</w:t>
              <w:br/>
              <w:t xml:space="preserve">      linearTeam: CORE</w:t>
              <w:br/>
              <w:t xml:space="preserve">      slackChannel: '#api-buildops'</w:t>
              <w:br/>
              <w:t xml:space="preserve">      sentryProject: api-prod</w:t>
              <w:br/>
              <w:t xml:space="preserve">    - key: web</w:t>
              <w:br/>
              <w:t xml:space="preserve">      repo: github:acme/web</w:t>
              <w:br/>
              <w:t xml:space="preserve">      linearTeam: APP</w:t>
              <w:br/>
              <w:t xml:space="preserve">      slackChannel: '#web-buildops'</w:t>
              <w:br/>
              <w:t xml:space="preserve">      sentryProject: web-prod</w:t>
              <w:br/>
              <w:t>connectors:</w:t>
              <w:br/>
              <w:t xml:space="preserve">  github:</w:t>
              <w:br/>
              <w:t xml:space="preserve">    enabled: true</w:t>
              <w:br/>
              <w:t xml:space="preserve">    installationRef: secretref://connectors/github/app-prod</w:t>
              <w:br/>
              <w:t xml:space="preserve">    org: acme</w:t>
              <w:br/>
              <w:t xml:space="preserve">    protectedBranchPolicyRef: main-release-guardrails</w:t>
              <w:br/>
              <w:t xml:space="preserve">  linear:</w:t>
              <w:br/>
              <w:t xml:space="preserve">    enabled: true</w:t>
              <w:br/>
              <w:t xml:space="preserve">    installationRef: secretref://connectors/linear/app-prod</w:t>
              <w:br/>
              <w:t xml:space="preserve">    teamMap:</w:t>
              <w:br/>
              <w:t xml:space="preserve">      CORE: core-platform</w:t>
              <w:br/>
              <w:t xml:space="preserve">      APP: app-experience</w:t>
              <w:br/>
              <w:t xml:space="preserve">  slack:</w:t>
              <w:br/>
              <w:t xml:space="preserve">    enabled: true</w:t>
              <w:br/>
              <w:t xml:space="preserve">    installationRef: secretref://connectors/slack/app-prod</w:t>
              <w:br/>
              <w:t xml:space="preserve">    approvalChannel: '#eng-approvals'</w:t>
              <w:br/>
              <w:t xml:space="preserve">    alertChannel: '#eng-alerts'</w:t>
              <w:br/>
              <w:t xml:space="preserve">  sentry:</w:t>
              <w:br/>
              <w:t xml:space="preserve">    enabled: true</w:t>
              <w:br/>
              <w:t xml:space="preserve">    installationRef: secretref://connectors/sentry/app-prod</w:t>
            </w:r>
          </w:p>
        </w:tc>
      </w:tr>
    </w:tbl>
    <w:p>
      <w:pPr>
        <w:pStyle w:val="Heading1"/>
        <w:spacing w:before="240" w:after="120"/>
      </w:pPr>
      <w:r>
        <w:rPr>
          <w:rFonts w:ascii="Liberation Sans" w:hAnsi="Liberation Sans"/>
          <w:b/>
          <w:color w:val="1F3A5F"/>
          <w:sz w:val="30"/>
        </w:rPr>
        <w:t>12. Day-2 operations and change control</w:t>
      </w:r>
    </w:p>
    <w:p>
      <w:pPr>
        <w:pStyle w:val="ListBullet"/>
        <w:spacing w:after="60" w:line="269" w:lineRule="auto"/>
      </w:pPr>
      <w:r>
        <w:rPr>
          <w:rFonts w:ascii="Liberation Sans" w:hAnsi="Liberation Sans"/>
          <w:b w:val="0"/>
          <w:i w:val="0"/>
          <w:color w:val="243447"/>
          <w:sz w:val="20"/>
        </w:rPr>
        <w:t>Treat overlay changes like product changes: stage them, test them, and promote them through a controlled environment sequence.</w:t>
      </w:r>
    </w:p>
    <w:p>
      <w:pPr>
        <w:pStyle w:val="ListBullet"/>
        <w:spacing w:after="60" w:line="269" w:lineRule="auto"/>
      </w:pPr>
      <w:r>
        <w:rPr>
          <w:rFonts w:ascii="Liberation Sans" w:hAnsi="Liberation Sans"/>
          <w:b w:val="0"/>
          <w:i w:val="0"/>
          <w:color w:val="243447"/>
          <w:sz w:val="20"/>
        </w:rPr>
        <w:t>Keep service mappings versioned. Do not silently repoint one overlay to different repos or teams without an audit trail.</w:t>
      </w:r>
    </w:p>
    <w:p>
      <w:pPr>
        <w:pStyle w:val="ListBullet"/>
        <w:spacing w:after="60" w:line="269" w:lineRule="auto"/>
      </w:pPr>
      <w:r>
        <w:rPr>
          <w:rFonts w:ascii="Liberation Sans" w:hAnsi="Liberation Sans"/>
          <w:b w:val="0"/>
          <w:i w:val="0"/>
          <w:color w:val="243447"/>
          <w:sz w:val="20"/>
        </w:rPr>
        <w:t>Rotate app credentials on a regular schedule and verify health checks immediately after rotation.</w:t>
      </w:r>
    </w:p>
    <w:p>
      <w:pPr>
        <w:pStyle w:val="ListBullet"/>
        <w:spacing w:after="60" w:line="269" w:lineRule="auto"/>
      </w:pPr>
      <w:r>
        <w:rPr>
          <w:rFonts w:ascii="Liberation Sans" w:hAnsi="Liberation Sans"/>
          <w:b w:val="0"/>
          <w:i w:val="0"/>
          <w:color w:val="243447"/>
          <w:sz w:val="20"/>
        </w:rPr>
        <w:t>Escaped failures should become new regression cases or policy rules before the next overlay release.</w:t>
      </w:r>
    </w:p>
    <w:p>
      <w:pPr>
        <w:pStyle w:val="Heading1"/>
        <w:spacing w:before="240" w:after="120"/>
      </w:pPr>
      <w:r>
        <w:rPr>
          <w:rFonts w:ascii="Liberation Sans" w:hAnsi="Liberation Sans"/>
          <w:b/>
          <w:color w:val="1F3A5F"/>
          <w:sz w:val="30"/>
        </w:rPr>
        <w:t>Appendix A. Source assumptions</w:t>
      </w:r>
    </w:p>
    <w:p>
      <w:pPr>
        <w:spacing w:after="140" w:line="276" w:lineRule="auto"/>
      </w:pPr>
      <w:r>
        <w:rPr>
          <w:rFonts w:ascii="Liberation Sans" w:hAnsi="Liberation Sans"/>
          <w:b w:val="0"/>
          <w:i w:val="0"/>
          <w:color w:val="243447"/>
          <w:sz w:val="20"/>
        </w:rPr>
        <w:t>This overlay kit assumes OpenClaw is used as a trust-bounded runtime plane with isolated agents, workspaces, routing bindings, AgentSkills-compatible skill folders, configurable hooks/cron automation, and optional sandboxing. The overlay design also assumes the documented security posture of one trusted operator boundary per gateway, which is why production deployments should separate customers and environments at the gateway layer.</w:t>
      </w:r>
    </w:p>
    <w:p>
      <w:pPr>
        <w:pStyle w:val="ListBullet"/>
        <w:spacing w:after="60" w:line="269" w:lineRule="auto"/>
      </w:pPr>
      <w:r>
        <w:rPr>
          <w:rFonts w:ascii="Liberation Sans" w:hAnsi="Liberation Sans"/>
          <w:b w:val="0"/>
          <w:i w:val="0"/>
          <w:color w:val="667085"/>
          <w:sz w:val="20"/>
        </w:rPr>
        <w:t>[R1] Agents - OpenClaw (isolated agents, workspaces, routing).</w:t>
      </w:r>
    </w:p>
    <w:p>
      <w:pPr>
        <w:pStyle w:val="ListBullet"/>
        <w:spacing w:after="60" w:line="269" w:lineRule="auto"/>
      </w:pPr>
      <w:r>
        <w:rPr>
          <w:rFonts w:ascii="Liberation Sans" w:hAnsi="Liberation Sans"/>
          <w:b w:val="0"/>
          <w:i w:val="0"/>
          <w:color w:val="667085"/>
          <w:sz w:val="20"/>
        </w:rPr>
        <w:t>[R2] Skills - OpenClaw (AgentSkills-compatible skill folders and precedence).</w:t>
      </w:r>
    </w:p>
    <w:p>
      <w:pPr>
        <w:pStyle w:val="ListBullet"/>
        <w:spacing w:after="60" w:line="269" w:lineRule="auto"/>
      </w:pPr>
      <w:r>
        <w:rPr>
          <w:rFonts w:ascii="Liberation Sans" w:hAnsi="Liberation Sans"/>
          <w:b w:val="0"/>
          <w:i w:val="0"/>
          <w:color w:val="667085"/>
          <w:sz w:val="20"/>
        </w:rPr>
        <w:t>[R3] Hooks - OpenClaw (event-driven automations discovered from directories).</w:t>
      </w:r>
    </w:p>
    <w:p>
      <w:pPr>
        <w:pStyle w:val="ListBullet"/>
        <w:spacing w:after="60" w:line="269" w:lineRule="auto"/>
      </w:pPr>
      <w:r>
        <w:rPr>
          <w:rFonts w:ascii="Liberation Sans" w:hAnsi="Liberation Sans"/>
          <w:b w:val="0"/>
          <w:i w:val="0"/>
          <w:color w:val="667085"/>
          <w:sz w:val="20"/>
        </w:rPr>
        <w:t>[R4] Cron Jobs - OpenClaw (persistent gateway scheduler).</w:t>
      </w:r>
    </w:p>
    <w:p>
      <w:pPr>
        <w:pStyle w:val="ListBullet"/>
        <w:spacing w:after="60" w:line="269" w:lineRule="auto"/>
      </w:pPr>
      <w:r>
        <w:rPr>
          <w:rFonts w:ascii="Liberation Sans" w:hAnsi="Liberation Sans"/>
          <w:b w:val="0"/>
          <w:i w:val="0"/>
          <w:color w:val="667085"/>
          <w:sz w:val="20"/>
        </w:rPr>
        <w:t>[R5] Security - OpenClaw (one trusted operator boundary per gateway).</w:t>
      </w:r>
    </w:p>
    <w:p>
      <w:pPr>
        <w:pStyle w:val="ListBullet"/>
        <w:spacing w:after="60" w:line="269" w:lineRule="auto"/>
      </w:pPr>
      <w:r>
        <w:rPr>
          <w:rFonts w:ascii="Liberation Sans" w:hAnsi="Liberation Sans"/>
          <w:b w:val="0"/>
          <w:i w:val="0"/>
          <w:color w:val="667085"/>
          <w:sz w:val="20"/>
        </w:rPr>
        <w:t>[R6] Agent Workspace - OpenClaw (workspace as default cwd; sandbox recommended for isolation).</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b w:val="0"/>
        <w:i w:val="0"/>
        <w:color w:val="667085"/>
        <w:sz w:val="17"/>
      </w:rPr>
      <w:t>Ruh.ai - tenant overlay 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