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F3A5F" w:val="clear"/>
            <w:tcMar>
              <w:top w:w="160" w:type="dxa"/>
              <w:start w:w="180" w:type="dxa"/>
              <w:bottom w:w="180" w:type="dxa"/>
              <w:end w:w="180" w:type="dxa"/>
            </w:tcMar>
          </w:tcPr>
          <w:p>
            <w:pPr>
              <w:jc w:val="left"/>
            </w:pPr>
            <w:r>
              <w:rPr>
                <w:rFonts w:ascii="Liberation Sans" w:hAnsi="Liberation Sans"/>
                <w:b/>
                <w:i w:val="0"/>
                <w:color w:val="FFFFFF"/>
                <w:sz w:val="44"/>
              </w:rPr>
              <w:t>Ruh.ai V1 Tenant Overlay Kit</w:t>
            </w:r>
          </w:p>
          <w:p>
            <w:pPr>
              <w:jc w:val="left"/>
            </w:pPr>
            <w:r>
              <w:rPr>
                <w:rFonts w:ascii="Liberation Sans" w:hAnsi="Liberation Sans"/>
                <w:b w:val="0"/>
                <w:i w:val="0"/>
                <w:color w:val="E5EEF7"/>
                <w:sz w:val="23"/>
              </w:rPr>
              <w:t>Construction Project Operations - Procore + SharePoint + Teams</w:t>
            </w:r>
          </w:p>
          <w:p>
            <w:pPr>
              <w:jc w:val="left"/>
            </w:pPr>
            <w:r>
              <w:rPr>
                <w:rFonts w:ascii="Liberation Sans" w:hAnsi="Liberation Sans"/>
                <w:b w:val="0"/>
                <w:i/>
                <w:color w:val="BFD2E6"/>
                <w:sz w:val="19"/>
              </w:rPr>
              <w:t>Deployment-ready overlay for one contractor, one trust boundary, and repeatable project operations workflows</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56"/>
        <w:gridCol w:w="2556"/>
        <w:gridCol w:w="2556"/>
        <w:gridCol w:w="2556"/>
      </w:tblGrid>
      <w:tr>
        <w:tc>
          <w:tcPr>
            <w:tcW w:type="dxa" w:w="2520"/>
            <w:shd w:fill="EEF4FB" w:val="clear"/>
            <w:tcMar>
              <w:top w:w="80" w:type="dxa"/>
              <w:start w:w="110" w:type="dxa"/>
              <w:bottom w:w="80" w:type="dxa"/>
              <w:end w:w="110" w:type="dxa"/>
            </w:tcMar>
          </w:tcPr>
          <w:p>
            <w:pPr>
              <w:jc w:val="center"/>
            </w:pPr>
            <w:r>
              <w:rPr>
                <w:rFonts w:ascii="Liberation Sans" w:hAnsi="Liberation Sans"/>
                <w:b/>
                <w:i w:val="0"/>
                <w:color w:val="667085"/>
                <w:sz w:val="16"/>
              </w:rPr>
              <w:t>VERSION</w:t>
              <w:br/>
            </w:r>
            <w:r>
              <w:rPr>
                <w:rFonts w:ascii="Liberation Sans" w:hAnsi="Liberation Sans"/>
                <w:b/>
                <w:i w:val="0"/>
                <w:color w:val="243447"/>
                <w:sz w:val="20"/>
              </w:rPr>
              <w:t>0.1.0</w:t>
            </w:r>
          </w:p>
        </w:tc>
        <w:tc>
          <w:tcPr>
            <w:tcW w:type="dxa" w:w="2520"/>
            <w:shd w:fill="EAF6F3" w:val="clear"/>
            <w:tcMar>
              <w:top w:w="80" w:type="dxa"/>
              <w:start w:w="110" w:type="dxa"/>
              <w:bottom w:w="80" w:type="dxa"/>
              <w:end w:w="110" w:type="dxa"/>
            </w:tcMar>
          </w:tcPr>
          <w:p>
            <w:pPr>
              <w:jc w:val="center"/>
            </w:pPr>
            <w:r>
              <w:rPr>
                <w:rFonts w:ascii="Liberation Sans" w:hAnsi="Liberation Sans"/>
                <w:b/>
                <w:i w:val="0"/>
                <w:color w:val="667085"/>
                <w:sz w:val="16"/>
              </w:rPr>
              <w:t>PACK REF</w:t>
              <w:br/>
            </w:r>
            <w:r>
              <w:rPr>
                <w:rFonts w:ascii="Liberation Sans" w:hAnsi="Liberation Sans"/>
                <w:b/>
                <w:i w:val="0"/>
                <w:color w:val="243447"/>
                <w:sz w:val="20"/>
              </w:rPr>
              <w:t>construction-project-operations@1.0.0</w:t>
            </w:r>
          </w:p>
        </w:tc>
        <w:tc>
          <w:tcPr>
            <w:tcW w:type="dxa" w:w="2520"/>
            <w:shd w:fill="EEF4FB" w:val="clear"/>
            <w:tcMar>
              <w:top w:w="80" w:type="dxa"/>
              <w:start w:w="110" w:type="dxa"/>
              <w:bottom w:w="80" w:type="dxa"/>
              <w:end w:w="110" w:type="dxa"/>
            </w:tcMar>
          </w:tcPr>
          <w:p>
            <w:pPr>
              <w:jc w:val="center"/>
            </w:pPr>
            <w:r>
              <w:rPr>
                <w:rFonts w:ascii="Liberation Sans" w:hAnsi="Liberation Sans"/>
                <w:b/>
                <w:i w:val="0"/>
                <w:color w:val="667085"/>
                <w:sz w:val="16"/>
              </w:rPr>
              <w:t>PRIMARY USE</w:t>
              <w:br/>
            </w:r>
            <w:r>
              <w:rPr>
                <w:rFonts w:ascii="Liberation Sans" w:hAnsi="Liberation Sans"/>
                <w:b/>
                <w:i w:val="0"/>
                <w:color w:val="243447"/>
                <w:sz w:val="20"/>
              </w:rPr>
              <w:t>Pilot + first production overlay</w:t>
            </w:r>
          </w:p>
        </w:tc>
        <w:tc>
          <w:tcPr>
            <w:tcW w:type="dxa" w:w="2520"/>
            <w:shd w:fill="EAF6F3" w:val="clear"/>
            <w:tcMar>
              <w:top w:w="80" w:type="dxa"/>
              <w:start w:w="110" w:type="dxa"/>
              <w:bottom w:w="80" w:type="dxa"/>
              <w:end w:w="110" w:type="dxa"/>
            </w:tcMar>
          </w:tcPr>
          <w:p>
            <w:pPr>
              <w:jc w:val="center"/>
            </w:pPr>
            <w:r>
              <w:rPr>
                <w:rFonts w:ascii="Liberation Sans" w:hAnsi="Liberation Sans"/>
                <w:b/>
                <w:i w:val="0"/>
                <w:color w:val="667085"/>
                <w:sz w:val="16"/>
              </w:rPr>
              <w:t>DATE</w:t>
              <w:br/>
            </w:r>
            <w:r>
              <w:rPr>
                <w:rFonts w:ascii="Liberation Sans" w:hAnsi="Liberation Sans"/>
                <w:b/>
                <w:i w:val="0"/>
                <w:color w:val="243447"/>
                <w:sz w:val="20"/>
              </w:rPr>
              <w:t>2026-03-08</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EAF6F3" w:val="clear"/>
            <w:tcMar>
              <w:top w:w="120" w:type="dxa"/>
              <w:start w:w="130" w:type="dxa"/>
              <w:bottom w:w="120" w:type="dxa"/>
              <w:end w:w="130" w:type="dxa"/>
            </w:tcMar>
          </w:tcPr>
          <w:p>
            <w:r>
              <w:rPr>
                <w:rFonts w:ascii="Liberation Sans" w:hAnsi="Liberation Sans"/>
                <w:b/>
                <w:i w:val="0"/>
                <w:color w:val="227A52"/>
                <w:sz w:val="22"/>
              </w:rPr>
              <w:t>Executive snapshot</w:t>
              <w:br/>
            </w:r>
            <w:r>
              <w:rPr>
                <w:rFonts w:ascii="Liberation Sans" w:hAnsi="Liberation Sans"/>
                <w:b w:val="0"/>
                <w:i w:val="0"/>
                <w:color w:val="243447"/>
                <w:sz w:val="20"/>
              </w:rPr>
              <w:t>This overlay kit binds the reusable Construction Project Operations Pack to a contractor stack where Procore is the official project record, SharePoint stores durable documents and generated outputs, and Microsoft Teams is the collaboration and approval surface.</w:t>
            </w:r>
            <w:r>
              <w:br/>
            </w:r>
            <w:r>
              <w:rPr>
                <w:rFonts w:ascii="Liberation Sans" w:hAnsi="Liberation Sans"/>
                <w:b w:val="0"/>
                <w:i w:val="0"/>
                <w:color w:val="243447"/>
                <w:sz w:val="20"/>
              </w:rPr>
              <w:t>The overlay is designed for general contractors and larger specialty contractors that already operate one project at a time through structured PMIS and document systems but still spend too much staff time on routing, document assembly, draft preparation, follow-up, and weekly reporting.</w:t>
            </w:r>
            <w:r>
              <w:br/>
            </w:r>
            <w:r>
              <w:rPr>
                <w:rFonts w:ascii="Liberation Sans" w:hAnsi="Liberation Sans"/>
                <w:b w:val="0"/>
                <w:i w:val="0"/>
                <w:color w:val="243447"/>
                <w:sz w:val="20"/>
              </w:rPr>
              <w:t>The recommended first activation slice is intake and routing, RFI lifecycle, submittal lifecycle, and meeting-action sync.</w:t>
            </w:r>
          </w:p>
        </w:tc>
      </w:tr>
    </w:tbl>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construction_overlay_overview.png"/>
                    <pic:cNvPicPr/>
                  </pic:nvPicPr>
                  <pic:blipFill>
                    <a:blip r:embed="rId10"/>
                    <a:stretch>
                      <a:fillRect/>
                    </a:stretch>
                  </pic:blipFill>
                  <pic:spPr>
                    <a:xfrm>
                      <a:off x="0" y="0"/>
                      <a:ext cx="6217920" cy="3497580"/>
                    </a:xfrm>
                    <a:prstGeom prst="rect"/>
                  </pic:spPr>
                </pic:pic>
              </a:graphicData>
            </a:graphic>
          </wp:inline>
        </w:drawing>
      </w:r>
    </w:p>
    <w:p>
      <w:pPr>
        <w:jc w:val="center"/>
      </w:pPr>
      <w:r>
        <w:rPr>
          <w:rFonts w:ascii="Liberation Sans" w:hAnsi="Liberation Sans"/>
          <w:b w:val="0"/>
          <w:i/>
          <w:color w:val="667085"/>
          <w:sz w:val="18"/>
        </w:rPr>
        <w:t>Figure 1. The overlay binds one reusable pack to one contractor stack and one trust boundary.</w:t>
      </w:r>
    </w:p>
    <w:p>
      <w:pPr>
        <w:pStyle w:val="Heading1"/>
        <w:spacing w:before="240" w:after="120"/>
      </w:pPr>
      <w:r>
        <w:rPr>
          <w:rFonts w:ascii="Liberation Sans" w:hAnsi="Liberation Sans"/>
          <w:b/>
          <w:color w:val="1F3A5F"/>
          <w:sz w:val="30"/>
        </w:rPr>
        <w:t>1. Purpose, scope, and design choices</w:t>
      </w:r>
    </w:p>
    <w:p>
      <w:pPr>
        <w:spacing w:after="140" w:line="276" w:lineRule="auto"/>
      </w:pPr>
      <w:r>
        <w:rPr>
          <w:rFonts w:ascii="Liberation Sans" w:hAnsi="Liberation Sans"/>
          <w:b w:val="0"/>
          <w:i w:val="0"/>
          <w:color w:val="243447"/>
          <w:sz w:val="20"/>
        </w:rPr>
        <w:t>This document is the deployment companion to the Construction Project Operations reference pack. It translates the horizontal pack into a concrete tenant-specific configuration pattern for contractors running Procore, SharePoint, and Teams. The kit defines how canonical construction objects are mapped, which employees are enabled, where official records live, what approval rules apply, and what must be true before the overlay can be promoted from pilot to production.</w:t>
      </w:r>
    </w:p>
    <w:p>
      <w:pPr>
        <w:pStyle w:val="ListBullet"/>
        <w:spacing w:after="60" w:line="269" w:lineRule="auto"/>
      </w:pPr>
      <w:r>
        <w:rPr>
          <w:rFonts w:ascii="Liberation Sans" w:hAnsi="Liberation Sans"/>
          <w:b w:val="0"/>
          <w:i w:val="0"/>
          <w:color w:val="243447"/>
          <w:sz w:val="20"/>
        </w:rPr>
        <w:t>Use Procore as the official record for RFIs, submittals, and project metadata that already live in the PMIS.</w:t>
      </w:r>
    </w:p>
    <w:p>
      <w:pPr>
        <w:pStyle w:val="ListBullet"/>
        <w:spacing w:after="60" w:line="269" w:lineRule="auto"/>
      </w:pPr>
      <w:r>
        <w:rPr>
          <w:rFonts w:ascii="Liberation Sans" w:hAnsi="Liberation Sans"/>
          <w:b w:val="0"/>
          <w:i w:val="0"/>
          <w:color w:val="243447"/>
          <w:sz w:val="20"/>
        </w:rPr>
        <w:t>Use SharePoint as the durable repository for generated meeting packs, status reports, exported bundles, and supporting project files that should remain easily shareable inside Microsoft 365.</w:t>
      </w:r>
    </w:p>
    <w:p>
      <w:pPr>
        <w:pStyle w:val="ListBullet"/>
        <w:spacing w:after="60" w:line="269" w:lineRule="auto"/>
      </w:pPr>
      <w:r>
        <w:rPr>
          <w:rFonts w:ascii="Liberation Sans" w:hAnsi="Liberation Sans"/>
          <w:b w:val="0"/>
          <w:i w:val="0"/>
          <w:color w:val="243447"/>
          <w:sz w:val="20"/>
        </w:rPr>
        <w:t>Use Teams as the internal collaboration surface for notifications, approvals, and daily operator interaction with digital employees.</w:t>
      </w:r>
    </w:p>
    <w:p>
      <w:pPr>
        <w:pStyle w:val="ListBullet"/>
        <w:spacing w:after="60" w:line="269" w:lineRule="auto"/>
      </w:pPr>
      <w:r>
        <w:rPr>
          <w:rFonts w:ascii="Liberation Sans" w:hAnsi="Liberation Sans"/>
          <w:b w:val="0"/>
          <w:i w:val="0"/>
          <w:color w:val="243447"/>
          <w:sz w:val="20"/>
        </w:rPr>
        <w:t>Keep one Ruh.ai project workspace per construction project so context, citations, and approvals stay cleanly scoped.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FFF7E9" w:val="clear"/>
            <w:tcMar>
              <w:top w:w="120" w:type="dxa"/>
              <w:start w:w="130" w:type="dxa"/>
              <w:bottom w:w="120" w:type="dxa"/>
              <w:end w:w="130" w:type="dxa"/>
            </w:tcMar>
          </w:tcPr>
          <w:p>
            <w:r>
              <w:rPr>
                <w:rFonts w:ascii="Liberation Sans" w:hAnsi="Liberation Sans"/>
                <w:b/>
                <w:i w:val="0"/>
                <w:color w:val="9A6700"/>
                <w:sz w:val="22"/>
              </w:rPr>
              <w:t>Out of scope in this overlay</w:t>
              <w:br/>
            </w:r>
            <w:r>
              <w:rPr>
                <w:rFonts w:ascii="Liberation Sans" w:hAnsi="Liberation Sans"/>
                <w:b w:val="0"/>
                <w:i w:val="0"/>
                <w:color w:val="243447"/>
                <w:sz w:val="20"/>
              </w:rPr>
              <w:t>Autonomous safety decisions, schedule resequencing, financial commitments, procurement commitments, or any action that changes project obligations without human approval.</w:t>
            </w:r>
            <w:r>
              <w:br/>
            </w:r>
            <w:r>
              <w:rPr>
                <w:rFonts w:ascii="Liberation Sans" w:hAnsi="Liberation Sans"/>
                <w:b w:val="0"/>
                <w:i w:val="0"/>
                <w:color w:val="243447"/>
                <w:sz w:val="20"/>
              </w:rPr>
              <w:t>Replacing Procore, SharePoint, or Teams. The overlay sits above them and writes back into them in a controlled way.</w:t>
            </w:r>
          </w:p>
        </w:tc>
      </w:tr>
    </w:tbl>
    <w:p>
      <w:pPr>
        <w:pStyle w:val="Heading1"/>
        <w:spacing w:before="240" w:after="120"/>
      </w:pPr>
      <w:r>
        <w:rPr>
          <w:rFonts w:ascii="Liberation Sans" w:hAnsi="Liberation Sans"/>
          <w:b/>
          <w:color w:val="1F3A5F"/>
          <w:sz w:val="30"/>
        </w:rPr>
        <w:t>2. Stack assumptions and tenant prerequisites</w:t>
      </w:r>
    </w:p>
    <w:p>
      <w:pPr>
        <w:spacing w:after="140" w:line="276" w:lineRule="auto"/>
      </w:pPr>
      <w:r>
        <w:rPr>
          <w:rFonts w:ascii="Liberation Sans" w:hAnsi="Liberation Sans"/>
          <w:b w:val="0"/>
          <w:i w:val="0"/>
          <w:color w:val="243447"/>
          <w:sz w:val="20"/>
        </w:rPr>
        <w:t>The overlay only works cleanly when the contractor already has one digital backbone per project. The goal is not to digitize a paper-first organization from scratch; the goal is to remove administrative drag from a digitally active team.</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3408"/>
        <w:gridCol w:w="3408"/>
        <w:gridCol w:w="3408"/>
      </w:tblGrid>
      <w:tr>
        <w:tc>
          <w:tcPr>
            <w:tcW w:type="dxa" w:w="1440"/>
            <w:shd w:fill="1F3A5F" w:val="clear"/>
            <w:tcMar>
              <w:top w:w="90" w:type="dxa"/>
              <w:start w:w="90" w:type="dxa"/>
              <w:bottom w:w="90" w:type="dxa"/>
              <w:end w:w="90" w:type="dxa"/>
            </w:tcMar>
            <w:vAlign w:val="center"/>
          </w:tcPr>
          <w:p>
            <w:pPr>
              <w:jc w:val="center"/>
            </w:pPr>
            <w:r>
              <w:rPr>
                <w:rFonts w:ascii="Liberation Sans" w:hAnsi="Liberation Sans"/>
                <w:b/>
                <w:i w:val="0"/>
                <w:color w:val="FFFFFF"/>
                <w:sz w:val="18"/>
              </w:rPr>
              <w:t>Area</w:t>
            </w:r>
          </w:p>
        </w:tc>
        <w:tc>
          <w:tcPr>
            <w:tcW w:type="dxa" w:w="302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Minimum requirement</w:t>
            </w:r>
          </w:p>
        </w:tc>
        <w:tc>
          <w:tcPr>
            <w:tcW w:type="dxa" w:w="561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Why it matters</w:t>
            </w:r>
          </w:p>
        </w:tc>
      </w:tr>
      <w:tr>
        <w:tc>
          <w:tcPr>
            <w:tcW w:type="dxa" w:w="1440"/>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Procore</w:t>
            </w:r>
          </w:p>
        </w:tc>
        <w:tc>
          <w:tcPr>
            <w:tcW w:type="dxa" w:w="302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API-enabled company account, project list, RFIs and submittals already managed in Procore</w:t>
            </w:r>
          </w:p>
        </w:tc>
        <w:tc>
          <w:tcPr>
            <w:tcW w:type="dxa" w:w="561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The overlay depends on stable IDs and official write-back targets.</w:t>
            </w:r>
          </w:p>
        </w:tc>
      </w:tr>
      <w:tr>
        <w:tc>
          <w:tcPr>
            <w:tcW w:type="dxa" w:w="1440"/>
            <w:tcMar>
              <w:top w:w="70" w:type="dxa"/>
              <w:start w:w="90" w:type="dxa"/>
              <w:bottom w:w="70" w:type="dxa"/>
              <w:end w:w="90" w:type="dxa"/>
            </w:tcMar>
            <w:vAlign w:val="center"/>
            <w:shd w:fill="FFFFFF" w:val="clear"/>
          </w:tcPr>
          <w:p>
            <w:pPr>
              <w:spacing w:after="40" w:line="259" w:lineRule="auto"/>
              <w:jc w:val="center"/>
            </w:pPr>
            <w:r>
              <w:rPr>
                <w:rFonts w:ascii="Liberation Sans" w:hAnsi="Liberation Sans"/>
                <w:b w:val="0"/>
                <w:i w:val="0"/>
                <w:color w:val="243447"/>
                <w:sz w:val="18"/>
              </w:rPr>
              <w:t>SharePoint</w:t>
            </w:r>
          </w:p>
        </w:tc>
        <w:tc>
          <w:tcPr>
            <w:tcW w:type="dxa" w:w="302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Project libraries with controlled access and consistent folder patterns</w:t>
            </w:r>
          </w:p>
        </w:tc>
        <w:tc>
          <w:tcPr>
            <w:tcW w:type="dxa" w:w="561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Generated packs and citation bundles need a durable document home.</w:t>
            </w:r>
          </w:p>
        </w:tc>
      </w:tr>
      <w:tr>
        <w:tc>
          <w:tcPr>
            <w:tcW w:type="dxa" w:w="1440"/>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Teams</w:t>
            </w:r>
          </w:p>
        </w:tc>
        <w:tc>
          <w:tcPr>
            <w:tcW w:type="dxa" w:w="302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Project or department channels plus an approval channel for operations leads</w:t>
            </w:r>
          </w:p>
        </w:tc>
        <w:tc>
          <w:tcPr>
            <w:tcW w:type="dxa" w:w="561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Human-in-the-loop approvals and digest delivery need a reliable surface.</w:t>
            </w:r>
          </w:p>
        </w:tc>
      </w:tr>
      <w:tr>
        <w:tc>
          <w:tcPr>
            <w:tcW w:type="dxa" w:w="1440"/>
            <w:tcMar>
              <w:top w:w="70" w:type="dxa"/>
              <w:start w:w="90" w:type="dxa"/>
              <w:bottom w:w="70" w:type="dxa"/>
              <w:end w:w="90" w:type="dxa"/>
            </w:tcMar>
            <w:vAlign w:val="center"/>
            <w:shd w:fill="FFFFFF" w:val="clear"/>
          </w:tcPr>
          <w:p>
            <w:pPr>
              <w:spacing w:after="40" w:line="259" w:lineRule="auto"/>
              <w:jc w:val="center"/>
            </w:pPr>
            <w:r>
              <w:rPr>
                <w:rFonts w:ascii="Liberation Sans" w:hAnsi="Liberation Sans"/>
                <w:b w:val="0"/>
                <w:i w:val="0"/>
                <w:color w:val="243447"/>
                <w:sz w:val="18"/>
              </w:rPr>
              <w:t>Identity</w:t>
            </w:r>
          </w:p>
        </w:tc>
        <w:tc>
          <w:tcPr>
            <w:tcW w:type="dxa" w:w="302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Named users and groups for project engineers, document control, PMs, and escalations</w:t>
            </w:r>
          </w:p>
        </w:tc>
        <w:tc>
          <w:tcPr>
            <w:tcW w:type="dxa" w:w="561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Policies must resolve to real approvers instead of free-text names.</w:t>
            </w:r>
          </w:p>
        </w:tc>
      </w:tr>
      <w:tr>
        <w:tc>
          <w:tcPr>
            <w:tcW w:type="dxa" w:w="1440"/>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Project coding</w:t>
            </w:r>
          </w:p>
        </w:tc>
        <w:tc>
          <w:tcPr>
            <w:tcW w:type="dxa" w:w="302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Consistent project code / project name convention across systems</w:t>
            </w:r>
          </w:p>
        </w:tc>
        <w:tc>
          <w:tcPr>
            <w:tcW w:type="dxa" w:w="561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Cross-system routing is much easier when one project key exists everywhere.</w:t>
            </w:r>
          </w:p>
        </w:tc>
      </w:tr>
    </w:tbl>
    <w:p>
      <w:pPr>
        <w:pStyle w:val="Heading1"/>
        <w:spacing w:before="240" w:after="120"/>
      </w:pPr>
      <w:r>
        <w:rPr>
          <w:rFonts w:ascii="Liberation Sans" w:hAnsi="Liberation Sans"/>
          <w:b/>
          <w:color w:val="1F3A5F"/>
          <w:sz w:val="30"/>
        </w:rPr>
        <w:t>3. Overlay topology and trust-boundary model</w:t>
      </w:r>
    </w:p>
    <w:p>
      <w:pPr>
        <w:spacing w:after="140" w:line="276" w:lineRule="auto"/>
      </w:pPr>
      <w:r>
        <w:rPr>
          <w:rFonts w:ascii="Liberation Sans" w:hAnsi="Liberation Sans"/>
          <w:b w:val="0"/>
          <w:i w:val="0"/>
          <w:color w:val="243447"/>
          <w:sz w:val="20"/>
        </w:rPr>
        <w:t>The overlay is applied at the tenant environment level, then parameterized per project. The recommended topology is one OpenClaw gateway for each trust boundary such as dev, staging, and production, with one Ruh.ai project workspace inside that boundary for each active construction project. This matches OpenClaw's documented one-trust-boundary-per-gateway model and keeps project memory separated from other projects.</w:t>
      </w:r>
    </w:p>
    <w:p>
      <w:pPr>
        <w:pStyle w:val="ListBullet"/>
        <w:spacing w:after="60" w:line="269" w:lineRule="auto"/>
      </w:pPr>
      <w:r>
        <w:rPr>
          <w:rFonts w:ascii="Liberation Sans" w:hAnsi="Liberation Sans"/>
          <w:b w:val="0"/>
          <w:i w:val="0"/>
          <w:color w:val="243447"/>
          <w:sz w:val="20"/>
        </w:rPr>
        <w:t>Tenant level: contractor-wide defaults, connector installations, approval role mappings, and notification defaults.</w:t>
      </w:r>
    </w:p>
    <w:p>
      <w:pPr>
        <w:pStyle w:val="ListBullet"/>
        <w:spacing w:after="60" w:line="269" w:lineRule="auto"/>
      </w:pPr>
      <w:r>
        <w:rPr>
          <w:rFonts w:ascii="Liberation Sans" w:hAnsi="Liberation Sans"/>
          <w:b w:val="0"/>
          <w:i w:val="0"/>
          <w:color w:val="243447"/>
          <w:sz w:val="20"/>
        </w:rPr>
        <w:t>Environment level: dev, staging, and production runtime settings, secret references, and gateway profile.</w:t>
      </w:r>
    </w:p>
    <w:p>
      <w:pPr>
        <w:pStyle w:val="ListBullet"/>
        <w:spacing w:after="60" w:line="269" w:lineRule="auto"/>
      </w:pPr>
      <w:r>
        <w:rPr>
          <w:rFonts w:ascii="Liberation Sans" w:hAnsi="Liberation Sans"/>
          <w:b w:val="0"/>
          <w:i w:val="0"/>
          <w:color w:val="243447"/>
          <w:sz w:val="20"/>
        </w:rPr>
        <w:t>Project level: Procore project ID, SharePoint library path, Teams channel bindings, project contacts, and workflow activation state.</w:t>
      </w:r>
    </w:p>
    <w:p>
      <w:pPr>
        <w:pStyle w:val="ListBullet"/>
        <w:spacing w:after="60" w:line="269" w:lineRule="auto"/>
      </w:pPr>
      <w:r>
        <w:rPr>
          <w:rFonts w:ascii="Liberation Sans" w:hAnsi="Liberation Sans"/>
          <w:b w:val="0"/>
          <w:i w:val="0"/>
          <w:color w:val="243447"/>
          <w:sz w:val="20"/>
        </w:rPr>
        <w:t>Workspace level: citation cache, generated drafts, temporary bundles, and run telemetry for one project only.</w:t>
      </w:r>
    </w:p>
    <w:p>
      <w:pPr>
        <w:jc w:val="center"/>
      </w:pPr>
      <w:r>
        <w:drawing>
          <wp:inline xmlns:a="http://schemas.openxmlformats.org/drawingml/2006/main" xmlns:pic="http://schemas.openxmlformats.org/drawingml/2006/picture">
            <wp:extent cx="6217920" cy="2720340"/>
            <wp:docPr id="2" name="Picture 2"/>
            <wp:cNvGraphicFramePr>
              <a:graphicFrameLocks noChangeAspect="1"/>
            </wp:cNvGraphicFramePr>
            <a:graphic>
              <a:graphicData uri="http://schemas.openxmlformats.org/drawingml/2006/picture">
                <pic:pic>
                  <pic:nvPicPr>
                    <pic:cNvPr id="0" name="construction_overlay_flow.png"/>
                    <pic:cNvPicPr/>
                  </pic:nvPicPr>
                  <pic:blipFill>
                    <a:blip r:embed="rId11"/>
                    <a:stretch>
                      <a:fillRect/>
                    </a:stretch>
                  </pic:blipFill>
                  <pic:spPr>
                    <a:xfrm>
                      <a:off x="0" y="0"/>
                      <a:ext cx="6217920" cy="2720340"/>
                    </a:xfrm>
                    <a:prstGeom prst="rect"/>
                  </pic:spPr>
                </pic:pic>
              </a:graphicData>
            </a:graphic>
          </wp:inline>
        </w:drawing>
      </w:r>
    </w:p>
    <w:p>
      <w:pPr>
        <w:jc w:val="center"/>
      </w:pPr>
      <w:r>
        <w:rPr>
          <w:rFonts w:ascii="Liberation Sans" w:hAnsi="Liberation Sans"/>
          <w:b w:val="0"/>
          <w:i/>
          <w:color w:val="667085"/>
          <w:sz w:val="18"/>
        </w:rPr>
        <w:t>Figure 2. MVP workflow loop recommended for the first construction overlay rollout.</w:t>
      </w:r>
    </w:p>
    <w:p>
      <w:pPr>
        <w:pStyle w:val="Heading1"/>
        <w:spacing w:before="240" w:after="120"/>
      </w:pPr>
      <w:r>
        <w:rPr>
          <w:rFonts w:ascii="Liberation Sans" w:hAnsi="Liberation Sans"/>
          <w:b/>
          <w:color w:val="1F3A5F"/>
          <w:sz w:val="30"/>
        </w:rPr>
        <w:t>4. Canonical object mapping</w:t>
      </w:r>
    </w:p>
    <w:p>
      <w:pPr>
        <w:spacing w:after="140" w:line="276" w:lineRule="auto"/>
      </w:pPr>
      <w:r>
        <w:rPr>
          <w:rFonts w:ascii="Liberation Sans" w:hAnsi="Liberation Sans"/>
          <w:b w:val="0"/>
          <w:i w:val="0"/>
          <w:color w:val="243447"/>
          <w:sz w:val="20"/>
        </w:rPr>
        <w:t>The overlay maps provider-specific fields to the pack's canonical construction vocabulary. Workflow logic should consume canonical objects; only the connector layer should know vendor field names.</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208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Canonical object</w:t>
            </w:r>
          </w:p>
        </w:tc>
        <w:tc>
          <w:tcPr>
            <w:tcW w:type="dxa" w:w="2160"/>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Primary source</w:t>
            </w:r>
          </w:p>
        </w:tc>
        <w:tc>
          <w:tcPr>
            <w:tcW w:type="dxa" w:w="244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Secondary source</w:t>
            </w:r>
          </w:p>
        </w:tc>
        <w:tc>
          <w:tcPr>
            <w:tcW w:type="dxa" w:w="338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Notes</w:t>
            </w:r>
          </w:p>
        </w:tc>
      </w:tr>
      <w:tr>
        <w:tc>
          <w:tcPr>
            <w:tcW w:type="dxa" w:w="208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Project</w:t>
            </w:r>
          </w:p>
        </w:tc>
        <w:tc>
          <w:tcPr>
            <w:tcW w:type="dxa" w:w="216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Procore project</w:t>
            </w:r>
          </w:p>
        </w:tc>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Teams channel prefix + SharePoint library</w:t>
            </w:r>
          </w:p>
        </w:tc>
        <w:tc>
          <w:tcPr>
            <w:tcW w:type="dxa" w:w="338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Project code should be the stable cross-system key.</w:t>
            </w:r>
          </w:p>
        </w:tc>
      </w:tr>
      <w:tr>
        <w:tc>
          <w:tcPr>
            <w:tcW w:type="dxa" w:w="208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DocumentRef</w:t>
            </w:r>
          </w:p>
        </w:tc>
        <w:tc>
          <w:tcPr>
            <w:tcW w:type="dxa" w:w="216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SharePoint file or Procore attachment</w:t>
            </w:r>
          </w:p>
        </w:tc>
        <w:tc>
          <w:tcPr>
            <w:tcW w:type="dxa" w:w="244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SharePoint controlled file path</w:t>
            </w:r>
          </w:p>
        </w:tc>
        <w:tc>
          <w:tcPr>
            <w:tcW w:type="dxa" w:w="338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Document controller resolves the latest approved version.</w:t>
            </w:r>
          </w:p>
        </w:tc>
      </w:tr>
      <w:tr>
        <w:tc>
          <w:tcPr>
            <w:tcW w:type="dxa" w:w="208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RFI</w:t>
            </w:r>
          </w:p>
        </w:tc>
        <w:tc>
          <w:tcPr>
            <w:tcW w:type="dxa" w:w="216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Procore RFI record</w:t>
            </w:r>
          </w:p>
        </w:tc>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SharePoint citation bundle copy</w:t>
            </w:r>
          </w:p>
        </w:tc>
        <w:tc>
          <w:tcPr>
            <w:tcW w:type="dxa" w:w="338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Official state stays in Procore.</w:t>
            </w:r>
          </w:p>
        </w:tc>
      </w:tr>
      <w:tr>
        <w:tc>
          <w:tcPr>
            <w:tcW w:type="dxa" w:w="208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Submittal</w:t>
            </w:r>
          </w:p>
        </w:tc>
        <w:tc>
          <w:tcPr>
            <w:tcW w:type="dxa" w:w="216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Procore submittal package</w:t>
            </w:r>
          </w:p>
        </w:tc>
        <w:tc>
          <w:tcPr>
            <w:tcW w:type="dxa" w:w="244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SharePoint supporting docs</w:t>
            </w:r>
          </w:p>
        </w:tc>
        <w:tc>
          <w:tcPr>
            <w:tcW w:type="dxa" w:w="338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Official review state stays in Procore.</w:t>
            </w:r>
          </w:p>
        </w:tc>
      </w:tr>
      <w:tr>
        <w:tc>
          <w:tcPr>
            <w:tcW w:type="dxa" w:w="208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MeetingPacket</w:t>
            </w:r>
          </w:p>
        </w:tc>
        <w:tc>
          <w:tcPr>
            <w:tcW w:type="dxa" w:w="216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SharePoint generated file</w:t>
            </w:r>
          </w:p>
        </w:tc>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Teams delivery message</w:t>
            </w:r>
          </w:p>
        </w:tc>
        <w:tc>
          <w:tcPr>
            <w:tcW w:type="dxa" w:w="338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Teams distributes; SharePoint stores.</w:t>
            </w:r>
          </w:p>
        </w:tc>
      </w:tr>
      <w:tr>
        <w:tc>
          <w:tcPr>
            <w:tcW w:type="dxa" w:w="208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ActionItem</w:t>
            </w:r>
          </w:p>
        </w:tc>
        <w:tc>
          <w:tcPr>
            <w:tcW w:type="dxa" w:w="216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Ruh.ai task artifact</w:t>
            </w:r>
          </w:p>
        </w:tc>
        <w:tc>
          <w:tcPr>
            <w:tcW w:type="dxa" w:w="244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Teams follow-up thread</w:t>
            </w:r>
          </w:p>
        </w:tc>
        <w:tc>
          <w:tcPr>
            <w:tcW w:type="dxa" w:w="338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Action tracker owns due-date reminders and status rollups.</w:t>
            </w:r>
          </w:p>
        </w:tc>
      </w:tr>
      <w:tr>
        <w:tc>
          <w:tcPr>
            <w:tcW w:type="dxa" w:w="208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ApprovalGroup</w:t>
            </w:r>
          </w:p>
        </w:tc>
        <w:tc>
          <w:tcPr>
            <w:tcW w:type="dxa" w:w="216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Azure AD / M365 group</w:t>
            </w:r>
          </w:p>
        </w:tc>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Ruh.ai policy reference</w:t>
            </w:r>
          </w:p>
        </w:tc>
        <w:tc>
          <w:tcPr>
            <w:tcW w:type="dxa" w:w="338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No free-text approver resolution in production.</w:t>
            </w:r>
          </w:p>
        </w:tc>
      </w:tr>
    </w:tbl>
    <w:p>
      <w:pPr>
        <w:pStyle w:val="Heading1"/>
        <w:spacing w:before="240" w:after="120"/>
      </w:pPr>
      <w:r>
        <w:rPr>
          <w:rFonts w:ascii="Liberation Sans" w:hAnsi="Liberation Sans"/>
          <w:b/>
          <w:color w:val="1F3A5F"/>
          <w:sz w:val="30"/>
        </w:rPr>
        <w:t>5. Employee activation and permission envelope</w:t>
      </w:r>
    </w:p>
    <w:p>
      <w:pPr>
        <w:spacing w:after="140" w:line="276" w:lineRule="auto"/>
      </w:pPr>
      <w:r>
        <w:rPr>
          <w:rFonts w:ascii="Liberation Sans" w:hAnsi="Liberation Sans"/>
          <w:b w:val="0"/>
          <w:i w:val="0"/>
          <w:color w:val="243447"/>
          <w:sz w:val="20"/>
        </w:rPr>
        <w:t>The tenant overlay should never enable a digital employee without an explicit permission envelope. The matrix below is the minimum v1 posture.</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194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Employee</w:t>
            </w:r>
          </w:p>
        </w:tc>
        <w:tc>
          <w:tcPr>
            <w:tcW w:type="dxa" w:w="316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Primary actions</w:t>
            </w:r>
          </w:p>
        </w:tc>
        <w:tc>
          <w:tcPr>
            <w:tcW w:type="dxa" w:w="201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Auto allowed</w:t>
            </w:r>
          </w:p>
        </w:tc>
        <w:tc>
          <w:tcPr>
            <w:tcW w:type="dxa" w:w="295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Approval required</w:t>
            </w:r>
          </w:p>
        </w:tc>
      </w:tr>
      <w:tr>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Project intake coordinator</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Classify inbound requests, open work items, route to project</w:t>
            </w:r>
          </w:p>
        </w:tc>
        <w:tc>
          <w:tcPr>
            <w:tcW w:type="dxa" w:w="201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Create internal tasks and Teams summaries</w:t>
            </w:r>
          </w:p>
        </w:tc>
        <w:tc>
          <w:tcPr>
            <w:tcW w:type="dxa" w:w="295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None by default</w:t>
            </w:r>
          </w:p>
        </w:tc>
      </w:tr>
      <w:tr>
        <w:tc>
          <w:tcPr>
            <w:tcW w:type="dxa" w:w="194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Document controller</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Resolve latest documents and build citation bundles</w:t>
            </w:r>
          </w:p>
        </w:tc>
        <w:tc>
          <w:tcPr>
            <w:tcW w:type="dxa" w:w="201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Read docs, assemble context bundle</w:t>
            </w:r>
          </w:p>
        </w:tc>
        <w:tc>
          <w:tcPr>
            <w:tcW w:type="dxa" w:w="295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Publishing externally shared bundles</w:t>
            </w:r>
          </w:p>
        </w:tc>
      </w:tr>
      <w:tr>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RFI coordinator</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Draft RFIs and propose routing</w:t>
            </w:r>
          </w:p>
        </w:tc>
        <w:tc>
          <w:tcPr>
            <w:tcW w:type="dxa" w:w="201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Internal draft generation</w:t>
            </w:r>
          </w:p>
        </w:tc>
        <w:tc>
          <w:tcPr>
            <w:tcW w:type="dxa" w:w="295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Create or update official Procore RFI</w:t>
            </w:r>
          </w:p>
        </w:tc>
      </w:tr>
      <w:tr>
        <w:tc>
          <w:tcPr>
            <w:tcW w:type="dxa" w:w="194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Submittal coordinator</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Prepare review package and status summary</w:t>
            </w:r>
          </w:p>
        </w:tc>
        <w:tc>
          <w:tcPr>
            <w:tcW w:type="dxa" w:w="201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Internal package draft, due-date watchlist</w:t>
            </w:r>
          </w:p>
        </w:tc>
        <w:tc>
          <w:tcPr>
            <w:tcW w:type="dxa" w:w="295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Create/update official Procore submittal record</w:t>
            </w:r>
          </w:p>
        </w:tc>
      </w:tr>
      <w:tr>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Meeting &amp; reporting analyst</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Generate OAC pack, weekly summary, trend view</w:t>
            </w:r>
          </w:p>
        </w:tc>
        <w:tc>
          <w:tcPr>
            <w:tcW w:type="dxa" w:w="201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Generate SharePoint files and internal Teams posts</w:t>
            </w:r>
          </w:p>
        </w:tc>
        <w:tc>
          <w:tcPr>
            <w:tcW w:type="dxa" w:w="295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External distribution beyond internal channel</w:t>
            </w:r>
          </w:p>
        </w:tc>
      </w:tr>
      <w:tr>
        <w:tc>
          <w:tcPr>
            <w:tcW w:type="dxa" w:w="194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Action &amp; risk tracker</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Reminder nudges, overdue watch, risk status rollup</w:t>
            </w:r>
          </w:p>
        </w:tc>
        <w:tc>
          <w:tcPr>
            <w:tcW w:type="dxa" w:w="201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Internal reminders and status digests</w:t>
            </w:r>
          </w:p>
        </w:tc>
        <w:tc>
          <w:tcPr>
            <w:tcW w:type="dxa" w:w="295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Escalation outside mapped Teams channels</w:t>
            </w:r>
          </w:p>
        </w:tc>
      </w:tr>
    </w:tbl>
    <w:p>
      <w:pPr>
        <w:pStyle w:val="Heading1"/>
        <w:spacing w:before="240" w:after="120"/>
      </w:pPr>
      <w:r>
        <w:rPr>
          <w:rFonts w:ascii="Liberation Sans" w:hAnsi="Liberation Sans"/>
          <w:b/>
          <w:color w:val="1F3A5F"/>
          <w:sz w:val="30"/>
        </w:rPr>
        <w:t>6. Workflow activation plan</w:t>
      </w:r>
    </w:p>
    <w:p>
      <w:pPr>
        <w:spacing w:after="140" w:line="276" w:lineRule="auto"/>
      </w:pPr>
      <w:r>
        <w:rPr>
          <w:rFonts w:ascii="Liberation Sans" w:hAnsi="Liberation Sans"/>
          <w:b w:val="0"/>
          <w:i w:val="0"/>
          <w:color w:val="243447"/>
          <w:sz w:val="20"/>
        </w:rPr>
        <w:t>The overlay should not activate every pack workflow on day one. Start with high-frequency, low-ambiguity flows that have a clean system of record and measurable cycle-time impact.</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223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Workflow</w:t>
            </w:r>
          </w:p>
        </w:tc>
        <w:tc>
          <w:tcPr>
            <w:tcW w:type="dxa" w:w="309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Trigger</w:t>
            </w:r>
          </w:p>
        </w:tc>
        <w:tc>
          <w:tcPr>
            <w:tcW w:type="dxa" w:w="194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System of record</w:t>
            </w:r>
          </w:p>
        </w:tc>
        <w:tc>
          <w:tcPr>
            <w:tcW w:type="dxa" w:w="280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Primary metric</w:t>
            </w:r>
          </w:p>
        </w:tc>
      </w:tr>
      <w:tr>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Intake &amp; routing</w:t>
            </w:r>
          </w:p>
        </w:tc>
        <w:tc>
          <w:tcPr>
            <w:tcW w:type="dxa" w:w="309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New email, Teams request, or monitored PMIS event</w:t>
            </w:r>
          </w:p>
        </w:tc>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Ruh.ai work item + Teams notification</w:t>
            </w:r>
          </w:p>
        </w:tc>
        <w:tc>
          <w:tcPr>
            <w:tcW w:type="dxa" w:w="280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Time from inbound signal to assigned task</w:t>
            </w:r>
          </w:p>
        </w:tc>
      </w:tr>
      <w:tr>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RFI lifecycle</w:t>
            </w:r>
          </w:p>
        </w:tc>
        <w:tc>
          <w:tcPr>
            <w:tcW w:type="dxa" w:w="309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Question or missing-info request tied to a project</w:t>
            </w:r>
          </w:p>
        </w:tc>
        <w:tc>
          <w:tcPr>
            <w:tcW w:type="dxa" w:w="194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Procore RFI</w:t>
            </w:r>
          </w:p>
        </w:tc>
        <w:tc>
          <w:tcPr>
            <w:tcW w:type="dxa" w:w="280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Draft-to-submission turnaround and citation accuracy</w:t>
            </w:r>
          </w:p>
        </w:tc>
      </w:tr>
      <w:tr>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Submittal lifecycle</w:t>
            </w:r>
          </w:p>
        </w:tc>
        <w:tc>
          <w:tcPr>
            <w:tcW w:type="dxa" w:w="309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Incoming submittal package or due-date watch condition</w:t>
            </w:r>
          </w:p>
        </w:tc>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Procore submittal record</w:t>
            </w:r>
          </w:p>
        </w:tc>
        <w:tc>
          <w:tcPr>
            <w:tcW w:type="dxa" w:w="280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Cycle time and overdue reduction</w:t>
            </w:r>
          </w:p>
        </w:tc>
      </w:tr>
      <w:tr>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Meeting-action sync</w:t>
            </w:r>
          </w:p>
        </w:tc>
        <w:tc>
          <w:tcPr>
            <w:tcW w:type="dxa" w:w="309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Scheduled weekly/OAC cadence or manual request</w:t>
            </w:r>
          </w:p>
        </w:tc>
        <w:tc>
          <w:tcPr>
            <w:tcW w:type="dxa" w:w="194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SharePoint file + Ruh.ai action items</w:t>
            </w:r>
          </w:p>
        </w:tc>
        <w:tc>
          <w:tcPr>
            <w:tcW w:type="dxa" w:w="280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Hours saved per week and overdue action reduction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EAF6F3" w:val="clear"/>
            <w:tcMar>
              <w:top w:w="120" w:type="dxa"/>
              <w:start w:w="130" w:type="dxa"/>
              <w:bottom w:w="120" w:type="dxa"/>
              <w:end w:w="130" w:type="dxa"/>
            </w:tcMar>
          </w:tcPr>
          <w:p>
            <w:r>
              <w:rPr>
                <w:rFonts w:ascii="Liberation Sans" w:hAnsi="Liberation Sans"/>
                <w:b/>
                <w:i w:val="0"/>
                <w:color w:val="227A52"/>
                <w:sz w:val="22"/>
              </w:rPr>
              <w:t>Recommended pilot order</w:t>
              <w:br/>
            </w:r>
            <w:r>
              <w:rPr>
                <w:rFonts w:ascii="Liberation Sans" w:hAnsi="Liberation Sans"/>
                <w:b w:val="0"/>
                <w:i w:val="0"/>
                <w:color w:val="243447"/>
                <w:sz w:val="20"/>
              </w:rPr>
              <w:t>Week 1-2: turn on intake routing and document resolution only, with no external write-back.</w:t>
            </w:r>
            <w:r>
              <w:br/>
            </w:r>
            <w:r>
              <w:rPr>
                <w:rFonts w:ascii="Liberation Sans" w:hAnsi="Liberation Sans"/>
                <w:b w:val="0"/>
                <w:i w:val="0"/>
                <w:color w:val="243447"/>
                <w:sz w:val="20"/>
              </w:rPr>
              <w:t>Week 3-4: add supervised RFI drafting and PM approval before Procore create/update.</w:t>
            </w:r>
            <w:r>
              <w:br/>
            </w:r>
            <w:r>
              <w:rPr>
                <w:rFonts w:ascii="Liberation Sans" w:hAnsi="Liberation Sans"/>
                <w:b w:val="0"/>
                <w:i w:val="0"/>
                <w:color w:val="243447"/>
                <w:sz w:val="20"/>
              </w:rPr>
              <w:t>Week 5-6: add submittal package preparation and due-date watchlists.</w:t>
            </w:r>
            <w:r>
              <w:br/>
            </w:r>
            <w:r>
              <w:rPr>
                <w:rFonts w:ascii="Liberation Sans" w:hAnsi="Liberation Sans"/>
                <w:b w:val="0"/>
                <w:i w:val="0"/>
                <w:color w:val="243447"/>
                <w:sz w:val="20"/>
              </w:rPr>
              <w:t>Week 7-8: add recurring meeting pack generation and action tracking digests.</w:t>
            </w:r>
          </w:p>
        </w:tc>
      </w:tr>
    </w:tbl>
    <w:p>
      <w:pPr>
        <w:pStyle w:val="Heading1"/>
        <w:spacing w:before="240" w:after="120"/>
      </w:pPr>
      <w:r>
        <w:rPr>
          <w:rFonts w:ascii="Liberation Sans" w:hAnsi="Liberation Sans"/>
          <w:b/>
          <w:color w:val="1F3A5F"/>
          <w:sz w:val="30"/>
        </w:rPr>
        <w:t>7. Connector profile and secrets inventory</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158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Connector</w:t>
            </w:r>
          </w:p>
        </w:tc>
        <w:tc>
          <w:tcPr>
            <w:tcW w:type="dxa" w:w="316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Required access</w:t>
            </w:r>
          </w:p>
        </w:tc>
        <w:tc>
          <w:tcPr>
            <w:tcW w:type="dxa" w:w="266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Secret reference pattern</w:t>
            </w:r>
          </w:p>
        </w:tc>
        <w:tc>
          <w:tcPr>
            <w:tcW w:type="dxa" w:w="266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Health check</w:t>
            </w:r>
          </w:p>
        </w:tc>
      </w:tr>
      <w:tr>
        <w:tc>
          <w:tcPr>
            <w:tcW w:type="dxa" w:w="158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Procore</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Read projects, RFIs, submittals; create/update permitted records</w:t>
            </w:r>
          </w:p>
        </w:tc>
        <w:tc>
          <w:tcPr>
            <w:tcW w:type="dxa" w:w="266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secretref://connectors/procore/*</w:t>
            </w:r>
          </w:p>
        </w:tc>
        <w:tc>
          <w:tcPr>
            <w:tcW w:type="dxa" w:w="266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Project list fetch + create draft dry run</w:t>
            </w:r>
          </w:p>
        </w:tc>
      </w:tr>
      <w:tr>
        <w:tc>
          <w:tcPr>
            <w:tcW w:type="dxa" w:w="158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SharePoint</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Read controlled docs; write generated outputs to approved libraries</w:t>
            </w:r>
          </w:p>
        </w:tc>
        <w:tc>
          <w:tcPr>
            <w:tcW w:type="dxa" w:w="266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secretref://connectors/sharepoint/*</w:t>
            </w:r>
          </w:p>
        </w:tc>
        <w:tc>
          <w:tcPr>
            <w:tcW w:type="dxa" w:w="266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Library list + test write to Ruh Output</w:t>
            </w:r>
          </w:p>
        </w:tc>
      </w:tr>
      <w:tr>
        <w:tc>
          <w:tcPr>
            <w:tcW w:type="dxa" w:w="158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Teams</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Post in mapped channels; receive bot mentions or app events</w:t>
            </w:r>
          </w:p>
        </w:tc>
        <w:tc>
          <w:tcPr>
            <w:tcW w:type="dxa" w:w="266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secretref://connectors/teams/*</w:t>
            </w:r>
          </w:p>
        </w:tc>
        <w:tc>
          <w:tcPr>
            <w:tcW w:type="dxa" w:w="266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Post test message + approval card round-trip</w:t>
            </w:r>
          </w:p>
        </w:tc>
      </w:tr>
      <w:tr>
        <w:tc>
          <w:tcPr>
            <w:tcW w:type="dxa" w:w="158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 runtime</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Bundle apply, task execution, telemetry upload</w:t>
            </w:r>
          </w:p>
        </w:tc>
        <w:tc>
          <w:tcPr>
            <w:tcW w:type="dxa" w:w="266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secretref://runtime/*</w:t>
            </w:r>
          </w:p>
        </w:tc>
        <w:tc>
          <w:tcPr>
            <w:tcW w:type="dxa" w:w="266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Adapter heartbeat + bundle checksum verification</w:t>
            </w:r>
          </w:p>
        </w:tc>
      </w:tr>
    </w:tbl>
    <w:p>
      <w:pPr>
        <w:spacing w:after="140" w:line="276" w:lineRule="auto"/>
      </w:pPr>
      <w:r>
        <w:rPr>
          <w:rFonts w:ascii="Liberation Sans" w:hAnsi="Liberation Sans"/>
          <w:b w:val="0"/>
          <w:i w:val="0"/>
          <w:color w:val="243447"/>
          <w:sz w:val="20"/>
        </w:rPr>
        <w:t>All secrets are referenced indirectly through secret refs. No tenant overlay checked into source control should ever contain raw tokens, client secrets, or user passwords.</w:t>
      </w:r>
    </w:p>
    <w:p>
      <w:pPr>
        <w:pStyle w:val="Heading1"/>
        <w:spacing w:before="240" w:after="120"/>
      </w:pPr>
      <w:r>
        <w:rPr>
          <w:rFonts w:ascii="Liberation Sans" w:hAnsi="Liberation Sans"/>
          <w:b/>
          <w:color w:val="1F3A5F"/>
          <w:sz w:val="30"/>
        </w:rPr>
        <w:t>8. Policy and approval overlay</w:t>
      </w:r>
    </w:p>
    <w:p>
      <w:pPr>
        <w:spacing w:after="140" w:line="276" w:lineRule="auto"/>
      </w:pPr>
      <w:r>
        <w:rPr>
          <w:rFonts w:ascii="Liberation Sans" w:hAnsi="Liberation Sans"/>
          <w:b w:val="0"/>
          <w:i w:val="0"/>
          <w:color w:val="243447"/>
          <w:sz w:val="20"/>
        </w:rPr>
        <w:t>This overlay uses a three-tier action model to keep automation valuable without putting official project records at risk.</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1152"/>
            <w:shd w:fill="1F3A5F" w:val="clear"/>
            <w:tcMar>
              <w:top w:w="90" w:type="dxa"/>
              <w:start w:w="90" w:type="dxa"/>
              <w:bottom w:w="90" w:type="dxa"/>
              <w:end w:w="90" w:type="dxa"/>
            </w:tcMar>
            <w:vAlign w:val="center"/>
          </w:tcPr>
          <w:p>
            <w:pPr>
              <w:jc w:val="center"/>
            </w:pPr>
            <w:r>
              <w:rPr>
                <w:rFonts w:ascii="Liberation Sans" w:hAnsi="Liberation Sans"/>
                <w:b/>
                <w:i w:val="0"/>
                <w:color w:val="FFFFFF"/>
                <w:sz w:val="18"/>
              </w:rPr>
              <w:t>Risk tier</w:t>
            </w:r>
          </w:p>
        </w:tc>
        <w:tc>
          <w:tcPr>
            <w:tcW w:type="dxa" w:w="460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Examples</w:t>
            </w:r>
          </w:p>
        </w:tc>
        <w:tc>
          <w:tcPr>
            <w:tcW w:type="dxa" w:w="187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Default policy</w:t>
            </w:r>
          </w:p>
        </w:tc>
        <w:tc>
          <w:tcPr>
            <w:tcW w:type="dxa" w:w="244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Approver</w:t>
            </w:r>
          </w:p>
        </w:tc>
      </w:tr>
      <w:tr>
        <w:tc>
          <w:tcPr>
            <w:tcW w:type="dxa" w:w="1152"/>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Low</w:t>
            </w:r>
          </w:p>
        </w:tc>
        <w:tc>
          <w:tcPr>
            <w:tcW w:type="dxa" w:w="460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Internal summaries, task creation, reminder nudges</w:t>
            </w:r>
          </w:p>
        </w:tc>
        <w:tc>
          <w:tcPr>
            <w:tcW w:type="dxa" w:w="187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Auto allowed</w:t>
            </w:r>
          </w:p>
        </w:tc>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None</w:t>
            </w:r>
          </w:p>
        </w:tc>
      </w:tr>
      <w:tr>
        <w:tc>
          <w:tcPr>
            <w:tcW w:type="dxa" w:w="1152"/>
            <w:tcMar>
              <w:top w:w="70" w:type="dxa"/>
              <w:start w:w="90" w:type="dxa"/>
              <w:bottom w:w="70" w:type="dxa"/>
              <w:end w:w="90" w:type="dxa"/>
            </w:tcMar>
            <w:vAlign w:val="center"/>
            <w:shd w:fill="FFFFFF" w:val="clear"/>
          </w:tcPr>
          <w:p>
            <w:pPr>
              <w:spacing w:after="40" w:line="259" w:lineRule="auto"/>
              <w:jc w:val="center"/>
            </w:pPr>
            <w:r>
              <w:rPr>
                <w:rFonts w:ascii="Liberation Sans" w:hAnsi="Liberation Sans"/>
                <w:b w:val="0"/>
                <w:i w:val="0"/>
                <w:color w:val="243447"/>
                <w:sz w:val="18"/>
              </w:rPr>
              <w:t>Medium</w:t>
            </w:r>
          </w:p>
        </w:tc>
        <w:tc>
          <w:tcPr>
            <w:tcW w:type="dxa" w:w="460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Creating or updating RFI/submittal drafts in Procore</w:t>
            </w:r>
          </w:p>
        </w:tc>
        <w:tc>
          <w:tcPr>
            <w:tcW w:type="dxa" w:w="187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Approval required</w:t>
            </w:r>
          </w:p>
        </w:tc>
        <w:tc>
          <w:tcPr>
            <w:tcW w:type="dxa" w:w="244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Mapped PM or document-control role</w:t>
            </w:r>
          </w:p>
        </w:tc>
      </w:tr>
      <w:tr>
        <w:tc>
          <w:tcPr>
            <w:tcW w:type="dxa" w:w="1152"/>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High</w:t>
            </w:r>
          </w:p>
        </w:tc>
        <w:tc>
          <w:tcPr>
            <w:tcW w:type="dxa" w:w="460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Owner/designer messages, obligation-changing records, external distribution</w:t>
            </w:r>
          </w:p>
        </w:tc>
        <w:tc>
          <w:tcPr>
            <w:tcW w:type="dxa" w:w="187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Human only or approval required with named role</w:t>
            </w:r>
          </w:p>
        </w:tc>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PM + escalation role if required</w:t>
            </w:r>
          </w:p>
        </w:tc>
      </w:tr>
    </w:tbl>
    <w:p>
      <w:pPr>
        <w:pStyle w:val="ListBullet"/>
        <w:spacing w:after="60" w:line="269" w:lineRule="auto"/>
      </w:pPr>
      <w:r>
        <w:rPr>
          <w:rFonts w:ascii="Liberation Sans" w:hAnsi="Liberation Sans"/>
          <w:b w:val="0"/>
          <w:i w:val="0"/>
          <w:color w:val="243447"/>
          <w:sz w:val="20"/>
        </w:rPr>
        <w:t>No outbound message to owner, designer, or subcontractor should auto-send from the overlay in v1.</w:t>
      </w:r>
    </w:p>
    <w:p>
      <w:pPr>
        <w:pStyle w:val="ListBullet"/>
        <w:spacing w:after="60" w:line="269" w:lineRule="auto"/>
      </w:pPr>
      <w:r>
        <w:rPr>
          <w:rFonts w:ascii="Liberation Sans" w:hAnsi="Liberation Sans"/>
          <w:b w:val="0"/>
          <w:i w:val="0"/>
          <w:color w:val="243447"/>
          <w:sz w:val="20"/>
        </w:rPr>
        <w:t>Any missing citation bundle, stale revision warning, or document conflict automatically downgrades the action to manual review.</w:t>
      </w:r>
    </w:p>
    <w:p>
      <w:pPr>
        <w:pStyle w:val="ListBullet"/>
        <w:spacing w:after="60" w:line="269" w:lineRule="auto"/>
      </w:pPr>
      <w:r>
        <w:rPr>
          <w:rFonts w:ascii="Liberation Sans" w:hAnsi="Liberation Sans"/>
          <w:b w:val="0"/>
          <w:i w:val="0"/>
          <w:color w:val="243447"/>
          <w:sz w:val="20"/>
        </w:rPr>
        <w:t>Override decisions must record the approving user, timestamp, and reason code.</w:t>
      </w:r>
    </w:p>
    <w:p>
      <w:pPr>
        <w:pStyle w:val="Heading1"/>
        <w:spacing w:before="240" w:after="120"/>
      </w:pPr>
      <w:r>
        <w:rPr>
          <w:rFonts w:ascii="Liberation Sans" w:hAnsi="Liberation Sans"/>
          <w:b/>
          <w:color w:val="1F3A5F"/>
          <w:sz w:val="30"/>
        </w:rPr>
        <w:t>9. Notification, routing, and record ownership rules</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3408"/>
        <w:gridCol w:w="3408"/>
        <w:gridCol w:w="3408"/>
      </w:tblGrid>
      <w:tr>
        <w:tc>
          <w:tcPr>
            <w:tcW w:type="dxa" w:w="244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Artifact / event</w:t>
            </w:r>
          </w:p>
        </w:tc>
        <w:tc>
          <w:tcPr>
            <w:tcW w:type="dxa" w:w="331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Primary destination</w:t>
            </w:r>
          </w:p>
        </w:tc>
        <w:tc>
          <w:tcPr>
            <w:tcW w:type="dxa" w:w="302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Owner of record</w:t>
            </w:r>
          </w:p>
        </w:tc>
      </w:tr>
      <w:tr>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Task assignment</w:t>
            </w:r>
          </w:p>
        </w:tc>
        <w:tc>
          <w:tcPr>
            <w:tcW w:type="dxa" w:w="33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Teams project-ops channel</w:t>
            </w:r>
          </w:p>
        </w:tc>
        <w:tc>
          <w:tcPr>
            <w:tcW w:type="dxa" w:w="302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Ruh.ai work item/task record</w:t>
            </w:r>
          </w:p>
        </w:tc>
      </w:tr>
      <w:tr>
        <w:tc>
          <w:tcPr>
            <w:tcW w:type="dxa" w:w="244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Approval request</w:t>
            </w:r>
          </w:p>
        </w:tc>
        <w:tc>
          <w:tcPr>
            <w:tcW w:type="dxa" w:w="331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Teams approvals channel or mapped PM chat</w:t>
            </w:r>
          </w:p>
        </w:tc>
        <w:tc>
          <w:tcPr>
            <w:tcW w:type="dxa" w:w="302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Ruh.ai approval record</w:t>
            </w:r>
          </w:p>
        </w:tc>
      </w:tr>
      <w:tr>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Official RFI/submittal update</w:t>
            </w:r>
          </w:p>
        </w:tc>
        <w:tc>
          <w:tcPr>
            <w:tcW w:type="dxa" w:w="33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Procore + Teams confirmation</w:t>
            </w:r>
          </w:p>
        </w:tc>
        <w:tc>
          <w:tcPr>
            <w:tcW w:type="dxa" w:w="302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Procore</w:t>
            </w:r>
          </w:p>
        </w:tc>
      </w:tr>
      <w:tr>
        <w:tc>
          <w:tcPr>
            <w:tcW w:type="dxa" w:w="244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Meeting packet</w:t>
            </w:r>
          </w:p>
        </w:tc>
        <w:tc>
          <w:tcPr>
            <w:tcW w:type="dxa" w:w="331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SharePoint file + Teams message link</w:t>
            </w:r>
          </w:p>
        </w:tc>
        <w:tc>
          <w:tcPr>
            <w:tcW w:type="dxa" w:w="302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SharePoint file</w:t>
            </w:r>
          </w:p>
        </w:tc>
      </w:tr>
      <w:tr>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Daily digest</w:t>
            </w:r>
          </w:p>
        </w:tc>
        <w:tc>
          <w:tcPr>
            <w:tcW w:type="dxa" w:w="33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Teams project-controls channel</w:t>
            </w:r>
          </w:p>
        </w:tc>
        <w:tc>
          <w:tcPr>
            <w:tcW w:type="dxa" w:w="302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Ruh.ai generated summary artifact</w:t>
            </w:r>
          </w:p>
        </w:tc>
      </w:tr>
    </w:tbl>
    <w:p>
      <w:pPr>
        <w:spacing w:after="140" w:line="276" w:lineRule="auto"/>
      </w:pPr>
      <w:r>
        <w:rPr>
          <w:rFonts w:ascii="Liberation Sans" w:hAnsi="Liberation Sans"/>
          <w:b w:val="0"/>
          <w:i w:val="0"/>
          <w:color w:val="243447"/>
          <w:sz w:val="20"/>
        </w:rPr>
        <w:t>Teams is the interaction surface, not the system of record. The overlay should send links back to Procore or SharePoint rather than treating chat history as the official audit trail.</w:t>
      </w:r>
    </w:p>
    <w:p>
      <w:pPr>
        <w:pStyle w:val="Heading1"/>
        <w:spacing w:before="240" w:after="120"/>
      </w:pPr>
      <w:r>
        <w:rPr>
          <w:rFonts w:ascii="Liberation Sans" w:hAnsi="Liberation Sans"/>
          <w:b/>
          <w:color w:val="1F3A5F"/>
          <w:sz w:val="30"/>
        </w:rPr>
        <w:t>10. Pilot acceptance gates and success metrics</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5112"/>
        <w:gridCol w:w="5112"/>
      </w:tblGrid>
      <w:tr>
        <w:tc>
          <w:tcPr>
            <w:tcW w:type="dxa" w:w="237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Gate</w:t>
            </w:r>
          </w:p>
        </w:tc>
        <w:tc>
          <w:tcPr>
            <w:tcW w:type="dxa" w:w="705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Target before go-live</w:t>
            </w:r>
          </w:p>
        </w:tc>
      </w:tr>
      <w:tr>
        <w:tc>
          <w:tcPr>
            <w:tcW w:type="dxa" w:w="237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Connector auth</w:t>
            </w:r>
          </w:p>
        </w:tc>
        <w:tc>
          <w:tcPr>
            <w:tcW w:type="dxa" w:w="705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All three external connectors pass health check and least-privilege review.</w:t>
            </w:r>
          </w:p>
        </w:tc>
      </w:tr>
      <w:tr>
        <w:tc>
          <w:tcPr>
            <w:tcW w:type="dxa" w:w="237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Project routing</w:t>
            </w:r>
          </w:p>
        </w:tc>
        <w:tc>
          <w:tcPr>
            <w:tcW w:type="dxa" w:w="705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At least 95% of inbound signals route to the correct project in eval replay.</w:t>
            </w:r>
          </w:p>
        </w:tc>
      </w:tr>
      <w:tr>
        <w:tc>
          <w:tcPr>
            <w:tcW w:type="dxa" w:w="237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Citation quality</w:t>
            </w:r>
          </w:p>
        </w:tc>
        <w:tc>
          <w:tcPr>
            <w:tcW w:type="dxa" w:w="705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At least 90% of pilot drafts include valid latest-revision citations.</w:t>
            </w:r>
          </w:p>
        </w:tc>
      </w:tr>
      <w:tr>
        <w:tc>
          <w:tcPr>
            <w:tcW w:type="dxa" w:w="237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Approval compliance</w:t>
            </w:r>
          </w:p>
        </w:tc>
        <w:tc>
          <w:tcPr>
            <w:tcW w:type="dxa" w:w="705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100% of medium/high-risk actions create an approval record or remain blocked.</w:t>
            </w:r>
          </w:p>
        </w:tc>
      </w:tr>
      <w:tr>
        <w:tc>
          <w:tcPr>
            <w:tcW w:type="dxa" w:w="237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Cycle-time impact</w:t>
            </w:r>
          </w:p>
        </w:tc>
        <w:tc>
          <w:tcPr>
            <w:tcW w:type="dxa" w:w="705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Pilot shows measurable reduction in RFI/submittal administrative turnaround.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EEF4FB" w:val="clear"/>
            <w:tcMar>
              <w:top w:w="120" w:type="dxa"/>
              <w:start w:w="130" w:type="dxa"/>
              <w:bottom w:w="120" w:type="dxa"/>
              <w:end w:w="130" w:type="dxa"/>
            </w:tcMar>
          </w:tcPr>
          <w:p>
            <w:r>
              <w:rPr>
                <w:rFonts w:ascii="Liberation Sans" w:hAnsi="Liberation Sans"/>
                <w:b/>
                <w:i w:val="0"/>
                <w:color w:val="1D4ED8"/>
                <w:sz w:val="22"/>
              </w:rPr>
              <w:t>Recommended pilot KPIs</w:t>
              <w:br/>
            </w:r>
            <w:r>
              <w:rPr>
                <w:rFonts w:ascii="Liberation Sans" w:hAnsi="Liberation Sans"/>
                <w:b w:val="0"/>
                <w:i w:val="0"/>
                <w:color w:val="243447"/>
                <w:sz w:val="20"/>
              </w:rPr>
              <w:t>RFI draft turnaround time</w:t>
            </w:r>
            <w:r>
              <w:br/>
            </w:r>
            <w:r>
              <w:rPr>
                <w:rFonts w:ascii="Liberation Sans" w:hAnsi="Liberation Sans"/>
                <w:b w:val="0"/>
                <w:i w:val="0"/>
                <w:color w:val="243447"/>
                <w:sz w:val="20"/>
              </w:rPr>
              <w:t>Submittal package prep time</w:t>
            </w:r>
            <w:r>
              <w:br/>
            </w:r>
            <w:r>
              <w:rPr>
                <w:rFonts w:ascii="Liberation Sans" w:hAnsi="Liberation Sans"/>
                <w:b w:val="0"/>
                <w:i w:val="0"/>
                <w:color w:val="243447"/>
                <w:sz w:val="20"/>
              </w:rPr>
              <w:t>Overdue action item count</w:t>
            </w:r>
            <w:r>
              <w:br/>
            </w:r>
            <w:r>
              <w:rPr>
                <w:rFonts w:ascii="Liberation Sans" w:hAnsi="Liberation Sans"/>
                <w:b w:val="0"/>
                <w:i w:val="0"/>
                <w:color w:val="243447"/>
                <w:sz w:val="20"/>
              </w:rPr>
              <w:t>Hours saved per project engineer per week</w:t>
            </w:r>
            <w:r>
              <w:br/>
            </w:r>
            <w:r>
              <w:rPr>
                <w:rFonts w:ascii="Liberation Sans" w:hAnsi="Liberation Sans"/>
                <w:b w:val="0"/>
                <w:i w:val="0"/>
                <w:color w:val="243447"/>
                <w:sz w:val="20"/>
              </w:rPr>
              <w:t>Percent of write-backs completed only after correct approval path</w:t>
            </w:r>
          </w:p>
        </w:tc>
      </w:tr>
    </w:tbl>
    <w:p>
      <w:pPr>
        <w:pStyle w:val="Heading1"/>
        <w:spacing w:before="240" w:after="120"/>
      </w:pPr>
      <w:r>
        <w:rPr>
          <w:rFonts w:ascii="Liberation Sans" w:hAnsi="Liberation Sans"/>
          <w:b/>
          <w:color w:val="1F3A5F"/>
          <w:sz w:val="30"/>
        </w:rPr>
        <w:t>11. Example overlay excerpt</w:t>
      </w:r>
    </w:p>
    <w:p>
      <w:pPr>
        <w:spacing w:after="140" w:line="276" w:lineRule="auto"/>
      </w:pPr>
      <w:r>
        <w:rPr>
          <w:rFonts w:ascii="Liberation Sans" w:hAnsi="Liberation Sans"/>
          <w:b w:val="0"/>
          <w:i w:val="0"/>
          <w:color w:val="243447"/>
          <w:sz w:val="20"/>
        </w:rPr>
        <w:t>The full starter file is provided separately with this kit. The excerpt below shows the intended structure and the major fields solution engineers are expected to fill.</w:t>
      </w:r>
    </w:p>
    <w:tbl>
      <w:tblPr>
        <w:tblW w:type="auto" w:w="0"/>
        <w:jc w:val="center"/>
        <w:tblLayout w:type="fixed"/>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10080"/>
      </w:tblGrid>
      <w:tr>
        <w:tc>
          <w:tcPr>
            <w:tcW w:type="dxa" w:w="10224"/>
            <w:shd w:fill="F8FAFC" w:val="clear"/>
            <w:tcMar>
              <w:top w:w="100" w:type="dxa"/>
              <w:start w:w="100" w:type="dxa"/>
              <w:bottom w:w="100" w:type="dxa"/>
              <w:end w:w="100" w:type="dxa"/>
            </w:tcMar>
          </w:tcPr>
          <w:p>
            <w:pPr>
              <w:spacing w:after="0" w:line="252" w:lineRule="auto"/>
            </w:pPr>
            <w:r>
              <w:rPr>
                <w:rFonts w:ascii="DejaVu Sans Mono" w:hAnsi="DejaVu Sans Mono"/>
                <w:color w:val="334155"/>
                <w:sz w:val="16"/>
              </w:rPr>
              <w:t>kind: tenantOverlay</w:t>
              <w:br/>
              <w:t>apiVersion: ruh.ai/v1alpha1</w:t>
              <w:br/>
              <w:t>metadata:</w:t>
              <w:br/>
              <w:t xml:space="preserve">  overlayId: construction.procore-sharepoint-teams</w:t>
              <w:br/>
              <w:t xml:space="preserve">  packRef: construction-project-operations@1.0.0</w:t>
              <w:br/>
              <w:t xml:space="preserve">  displayName: Procore + SharePoint + Teams overlay</w:t>
              <w:br/>
              <w:t xml:space="preserve">  owner: solutions-engineering</w:t>
              <w:br/>
              <w:t xml:space="preserve">  environmentClass: production</w:t>
              <w:br/>
              <w:t xml:space="preserve">  version: 0.1.0</w:t>
              <w:br/>
              <w:t>trustBoundary:</w:t>
              <w:br/>
              <w:t xml:space="preserve">  key: contractor-prod-east</w:t>
              <w:br/>
              <w:t xml:space="preserve">  runtimeProfile: prod</w:t>
              <w:br/>
              <w:t xml:space="preserve">  gateway:</w:t>
              <w:br/>
              <w:t xml:space="preserve">    mode: dedicated</w:t>
              <w:br/>
              <w:t xml:space="preserve">    workspaceStrategy: project-per-workspace</w:t>
              <w:br/>
              <w:t xml:space="preserve">    sandbox:</w:t>
              <w:br/>
              <w:t xml:space="preserve">      mode: non-main</w:t>
              <w:br/>
              <w:t xml:space="preserve">      scope: agent</w:t>
              <w:br/>
              <w:t>projects:</w:t>
              <w:br/>
              <w:t xml:space="preserve">  template:</w:t>
              <w:br/>
              <w:t xml:space="preserve">    workspaceIdPattern: constr-{project_code}</w:t>
              <w:br/>
              <w:t xml:space="preserve">    channelBindings:</w:t>
              <w:br/>
              <w:t xml:space="preserve">      internalTeam: teams:{project_code}-ops</w:t>
              <w:br/>
              <w:t xml:space="preserve">      approvals: teams:{project_code}-approvals</w:t>
              <w:br/>
              <w:t>connectors:</w:t>
              <w:br/>
              <w:t xml:space="preserve">  procore:</w:t>
              <w:br/>
              <w:t xml:space="preserve">    enabled: true</w:t>
              <w:br/>
              <w:t xml:space="preserve">    installationRef: secretref://connectors/procore/app-prod</w:t>
              <w:br/>
              <w:t xml:space="preserve">    companyId: ${PROCORE_COMPANY_ID}</w:t>
              <w:br/>
              <w:t xml:space="preserve">    projectFieldMap:</w:t>
              <w:br/>
              <w:t xml:space="preserve">      projectId: procore.project.id</w:t>
              <w:br/>
              <w:t xml:space="preserve">      rfiId: procore.rfi.id</w:t>
              <w:br/>
              <w:t xml:space="preserve">      submittalId: procore.submittal.id</w:t>
              <w:br/>
              <w:t xml:space="preserve">  sharepoint:</w:t>
              <w:br/>
              <w:t xml:space="preserve">    enabled: true</w:t>
              <w:br/>
              <w:t xml:space="preserve">    siteRef: ${SP_SITE_URL}</w:t>
              <w:br/>
              <w:t xml:space="preserve">    libraryMap:</w:t>
              <w:br/>
              <w:t xml:space="preserve">      controlledDocs: /Shared Documents/Controlled Project Files</w:t>
              <w:br/>
              <w:t xml:space="preserve">      generatedReports: /Shared Documents/Ruh Output</w:t>
              <w:br/>
              <w:t xml:space="preserve">  teams:</w:t>
              <w:br/>
              <w:t xml:space="preserve">    enabled: true</w:t>
              <w:br/>
              <w:t xml:space="preserve">    botRef: secretref://connectors/teams/bot-prod</w:t>
              <w:br/>
              <w:t xml:space="preserve">    quietHours: "20:00-06:00 America/Chicago"</w:t>
              <w:br/>
              <w:t>roleMappings:</w:t>
              <w:br/>
              <w:t xml:space="preserve">  approvals:</w:t>
              <w:br/>
              <w:t xml:space="preserve">    rfiOwner: group://project-engineers</w:t>
            </w:r>
          </w:p>
        </w:tc>
      </w:tr>
    </w:tbl>
    <w:p>
      <w:pPr>
        <w:pStyle w:val="Heading1"/>
        <w:spacing w:before="240" w:after="120"/>
      </w:pPr>
      <w:r>
        <w:rPr>
          <w:rFonts w:ascii="Liberation Sans" w:hAnsi="Liberation Sans"/>
          <w:b/>
          <w:color w:val="1F3A5F"/>
          <w:sz w:val="30"/>
        </w:rPr>
        <w:t>12. Day-2 operations and change control</w:t>
      </w:r>
    </w:p>
    <w:p>
      <w:pPr>
        <w:pStyle w:val="ListBullet"/>
        <w:spacing w:after="60" w:line="269" w:lineRule="auto"/>
      </w:pPr>
      <w:r>
        <w:rPr>
          <w:rFonts w:ascii="Liberation Sans" w:hAnsi="Liberation Sans"/>
          <w:b w:val="0"/>
          <w:i w:val="0"/>
          <w:color w:val="243447"/>
          <w:sz w:val="20"/>
        </w:rPr>
        <w:t>Any change to provider mappings, approval groups, or write-back permissions should go through the same promotion flow as a code change: dev -&gt; staging -&gt; production.</w:t>
      </w:r>
    </w:p>
    <w:p>
      <w:pPr>
        <w:pStyle w:val="ListBullet"/>
        <w:spacing w:after="60" w:line="269" w:lineRule="auto"/>
      </w:pPr>
      <w:r>
        <w:rPr>
          <w:rFonts w:ascii="Liberation Sans" w:hAnsi="Liberation Sans"/>
          <w:b w:val="0"/>
          <w:i w:val="0"/>
          <w:color w:val="243447"/>
          <w:sz w:val="20"/>
        </w:rPr>
        <w:t>Project-template changes should be versioned. Never mutate active production overlays in place without a rollback snapshot.</w:t>
      </w:r>
    </w:p>
    <w:p>
      <w:pPr>
        <w:pStyle w:val="ListBullet"/>
        <w:spacing w:after="60" w:line="269" w:lineRule="auto"/>
      </w:pPr>
      <w:r>
        <w:rPr>
          <w:rFonts w:ascii="Liberation Sans" w:hAnsi="Liberation Sans"/>
          <w:b w:val="0"/>
          <w:i w:val="0"/>
          <w:color w:val="243447"/>
          <w:sz w:val="20"/>
        </w:rPr>
        <w:t>Connector credential rotation should be tested in staging before production cutover whenever possible.</w:t>
      </w:r>
    </w:p>
    <w:p>
      <w:pPr>
        <w:pStyle w:val="ListBullet"/>
        <w:spacing w:after="60" w:line="269" w:lineRule="auto"/>
      </w:pPr>
      <w:r>
        <w:rPr>
          <w:rFonts w:ascii="Liberation Sans" w:hAnsi="Liberation Sans"/>
          <w:b w:val="0"/>
          <w:i w:val="0"/>
          <w:color w:val="243447"/>
          <w:sz w:val="20"/>
        </w:rPr>
        <w:t>Escaped production mistakes should become new eval cases before the next overlay release.</w:t>
      </w:r>
    </w:p>
    <w:p>
      <w:pPr>
        <w:pStyle w:val="Heading1"/>
        <w:spacing w:before="240" w:after="120"/>
      </w:pPr>
      <w:r>
        <w:rPr>
          <w:rFonts w:ascii="Liberation Sans" w:hAnsi="Liberation Sans"/>
          <w:b/>
          <w:color w:val="1F3A5F"/>
          <w:sz w:val="30"/>
        </w:rPr>
        <w:t>Appendix A. Source assumptions</w:t>
      </w:r>
    </w:p>
    <w:p>
      <w:pPr>
        <w:spacing w:after="140" w:line="276" w:lineRule="auto"/>
      </w:pPr>
      <w:r>
        <w:rPr>
          <w:rFonts w:ascii="Liberation Sans" w:hAnsi="Liberation Sans"/>
          <w:b w:val="0"/>
          <w:i w:val="0"/>
          <w:color w:val="243447"/>
          <w:sz w:val="20"/>
        </w:rPr>
        <w:t>This overlay kit assumes OpenClaw is used as a trust-bounded runtime plane with isolated agents, workspaces, routing bindings, AgentSkills-compatible skill folders, configurable hooks/cron automation, and optional sandboxing. The overlay design also assumes the documented security posture of one trusted operator boundary per gateway, which is why production deployments should separate customers and environments at the gateway layer.</w:t>
      </w:r>
    </w:p>
    <w:p>
      <w:pPr>
        <w:pStyle w:val="ListBullet"/>
        <w:spacing w:after="60" w:line="269" w:lineRule="auto"/>
      </w:pPr>
      <w:r>
        <w:rPr>
          <w:rFonts w:ascii="Liberation Sans" w:hAnsi="Liberation Sans"/>
          <w:b w:val="0"/>
          <w:i w:val="0"/>
          <w:color w:val="667085"/>
          <w:sz w:val="20"/>
        </w:rPr>
        <w:t>[R1] Agents - OpenClaw (isolated agents, workspaces, routing).</w:t>
      </w:r>
    </w:p>
    <w:p>
      <w:pPr>
        <w:pStyle w:val="ListBullet"/>
        <w:spacing w:after="60" w:line="269" w:lineRule="auto"/>
      </w:pPr>
      <w:r>
        <w:rPr>
          <w:rFonts w:ascii="Liberation Sans" w:hAnsi="Liberation Sans"/>
          <w:b w:val="0"/>
          <w:i w:val="0"/>
          <w:color w:val="667085"/>
          <w:sz w:val="20"/>
        </w:rPr>
        <w:t>[R2] Skills - OpenClaw (AgentSkills-compatible skill folders and precedence).</w:t>
      </w:r>
    </w:p>
    <w:p>
      <w:pPr>
        <w:pStyle w:val="ListBullet"/>
        <w:spacing w:after="60" w:line="269" w:lineRule="auto"/>
      </w:pPr>
      <w:r>
        <w:rPr>
          <w:rFonts w:ascii="Liberation Sans" w:hAnsi="Liberation Sans"/>
          <w:b w:val="0"/>
          <w:i w:val="0"/>
          <w:color w:val="667085"/>
          <w:sz w:val="20"/>
        </w:rPr>
        <w:t>[R3] Hooks - OpenClaw (event-driven automations discovered from directories).</w:t>
      </w:r>
    </w:p>
    <w:p>
      <w:pPr>
        <w:pStyle w:val="ListBullet"/>
        <w:spacing w:after="60" w:line="269" w:lineRule="auto"/>
      </w:pPr>
      <w:r>
        <w:rPr>
          <w:rFonts w:ascii="Liberation Sans" w:hAnsi="Liberation Sans"/>
          <w:b w:val="0"/>
          <w:i w:val="0"/>
          <w:color w:val="667085"/>
          <w:sz w:val="20"/>
        </w:rPr>
        <w:t>[R4] Cron Jobs - OpenClaw (persistent gateway scheduler).</w:t>
      </w:r>
    </w:p>
    <w:p>
      <w:pPr>
        <w:pStyle w:val="ListBullet"/>
        <w:spacing w:after="60" w:line="269" w:lineRule="auto"/>
      </w:pPr>
      <w:r>
        <w:rPr>
          <w:rFonts w:ascii="Liberation Sans" w:hAnsi="Liberation Sans"/>
          <w:b w:val="0"/>
          <w:i w:val="0"/>
          <w:color w:val="667085"/>
          <w:sz w:val="20"/>
        </w:rPr>
        <w:t>[R5] Security - OpenClaw (one trusted operator boundary per gateway).</w:t>
      </w:r>
    </w:p>
    <w:p>
      <w:pPr>
        <w:pStyle w:val="ListBullet"/>
        <w:spacing w:after="60" w:line="269" w:lineRule="auto"/>
      </w:pPr>
      <w:r>
        <w:rPr>
          <w:rFonts w:ascii="Liberation Sans" w:hAnsi="Liberation Sans"/>
          <w:b w:val="0"/>
          <w:i w:val="0"/>
          <w:color w:val="667085"/>
          <w:sz w:val="20"/>
        </w:rPr>
        <w:t>[R6] Agent Workspace - OpenClaw (workspace as default cwd; sandbox recommended for isolation).</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b w:val="0"/>
        <w:i w:val="0"/>
        <w:color w:val="667085"/>
        <w:sz w:val="17"/>
      </w:rPr>
      <w:t>Ruh.ai - tenant overlay 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