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Scenario</w:t>
      </w:r>
    </w:p>
    <w:tbl>
      <w:tblPr>
        <w:tblStyle w:val="Table1"/>
        <w:tblW w:w="9771.0" w:type="dxa"/>
        <w:jc w:val="left"/>
        <w:tblLayout w:type="fixed"/>
        <w:tblLook w:val="0400"/>
      </w:tblPr>
      <w:tblGrid>
        <w:gridCol w:w="2258"/>
        <w:gridCol w:w="7513"/>
        <w:tblGridChange w:id="0">
          <w:tblGrid>
            <w:gridCol w:w="2258"/>
            <w:gridCol w:w="7513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Use Case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Participate in a Contest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Abbreviated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Contest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Use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UC02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Actors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Description: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This use case allows a user to browse available contests and participate in them by solving problems and submitting their solutions.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5.1. Pre-Conditions: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user must be logged in.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Contests must be available for participation.</w:t>
            </w:r>
          </w:p>
        </w:tc>
      </w:tr>
      <w:tr>
        <w:trPr>
          <w:cantSplit w:val="0"/>
          <w:trHeight w:val="17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5.2. Task Sequence: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views available contests.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selects a contest to participate in.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allows the user to submit solutions.</w:t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5.3. Post Conditions: 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user has successfully participated in the contest by submitting a solution.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Modification History: Initial version (Date 24-October-2024)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Author: Dilpreet , Pratyush , Somil , Ruhani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0e81ab71-67f1-407a-8149-d379fd815164</vt:lpwstr>
  </property>
</Properties>
</file>