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ldStandardTT-bold.ttf" ContentType="application/x-font-ttf"/>
  <Override PartName="/word/fonts/OldStandardTT-italic.ttf" ContentType="application/x-font-ttf"/>
  <Override PartName="/word/fonts/OldStandardTT-regular.ttf" ContentType="application/x-font-ttf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Old Standard TT" w:cs="Old Standard TT" w:eastAsia="Old Standard TT" w:hAnsi="Old Standard T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="240" w:lineRule="auto"/>
              <w:rPr>
                <w:rFonts w:ascii="Old Standard TT" w:cs="Old Standard TT" w:eastAsia="Old Standard TT" w:hAnsi="Old Standard TT"/>
                <w:sz w:val="20"/>
                <w:szCs w:val="20"/>
              </w:rPr>
            </w:pPr>
            <w:r>
              <w:rPr>
                <w:b/>
                <w:i w:val="0"/>
                <w:sz w:val="32"/>
              </w:rPr>
              <w:t>Belief Correction Does Not Reliably Prevent LLM Pricing Collusion</w:t>
            </w:r>
          </w:p>
          <w:p w:rsidR="00000000" w:rsidDel="00000000" w:rsidP="00000000" w:rsidRDefault="00000000" w:rsidRPr="00000000" w14:paraId="00000003">
            <w:pPr>
              <w:pStyle w:val="Title"/>
              <w:spacing w:after="200" w:line="240" w:lineRule="auto"/>
              <w:jc w:val="center"/>
              <w:rPr>
                <w:rFonts w:ascii="Old Standard TT" w:cs="Old Standard TT" w:eastAsia="Old Standard TT" w:hAnsi="Old Standard TT"/>
                <w:b w:val="1"/>
                <w:bCs w:val="1"/>
                <w:color w:val="000000"/>
                <w:sz w:val="40"/>
                <w:szCs w:val="40"/>
              </w:rPr>
            </w:pPr>
            <w:r>
              <w:rPr>
                <w:b w:val="0"/>
                <w:i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="240" w:lineRule="auto"/>
              <w:jc w:val="both"/>
              <w:rPr>
                <w:rFonts w:ascii="Old Standard TT" w:cs="Old Standard TT" w:eastAsia="Old Standard TT" w:hAnsi="Old Standard TT"/>
                <w:sz w:val="20"/>
                <w:szCs w:val="20"/>
              </w:rPr>
            </w:pPr>
            <w:r>
              <w:rPr>
                <w:b w:val="0"/>
                <w:i w:val="0"/>
              </w:rPr>
            </w:r>
          </w:p>
          <w:p>
            <w:r>
              <w:t>Author: Sachin Ruhil</w:t>
            </w:r>
          </w:p>
          <w:p>
            <w:r>
              <w:t>Apart Research AI Collusion Research Sprint (23-25 Oct 2026) — Track 1.1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40" w:lineRule="auto"/>
              <w:rPr>
                <w:rFonts w:ascii="Old Standard TT" w:cs="Old Standard TT" w:eastAsia="Old Standard TT" w:hAnsi="Old Standard TT"/>
                <w:sz w:val="2"/>
                <w:szCs w:val="2"/>
              </w:rPr>
            </w:pPr>
            <w:r>
              <w:rPr>
                <w:b/>
                <w:i w:val="0"/>
                <w:sz w:val="24"/>
              </w:rPr>
              <w:t>Abstract</w:t>
            </w:r>
          </w:p>
          <w:tbl>
            <w:tblPr>
              <w:tblStyle w:val="Table2"/>
              <w:tblW w:w="718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70"/>
              <w:gridCol w:w="3120"/>
              <w:gridCol w:w="1995"/>
              <w:tblGridChange w:id="0">
                <w:tblGrid>
                  <w:gridCol w:w="2070"/>
                  <w:gridCol w:w="3120"/>
                  <w:gridCol w:w="199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spacing w:after="200" w:line="240" w:lineRule="auto"/>
                    <w:rPr>
                      <w:rFonts w:ascii="Old Standard TT" w:cs="Old Standard TT" w:eastAsia="Old Standard TT" w:hAnsi="Old Standard TT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2070.0" w:type="dxa"/>
                    <w:jc w:val="center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90"/>
                    <w:gridCol w:w="690"/>
                    <w:gridCol w:w="690"/>
                    <w:tblGridChange w:id="0">
                      <w:tblGrid>
                        <w:gridCol w:w="690"/>
                        <w:gridCol w:w="690"/>
                        <w:gridCol w:w="690"/>
                      </w:tblGrid>
                    </w:tblGridChange>
                  </w:tblGrid>
                  <w:tr>
                    <w:trPr>
                      <w:cantSplit w:val="0"/>
                      <w:trHeight w:val="70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7">
                        <w:pPr>
                          <w:spacing w:after="200" w:line="240" w:lineRule="auto"/>
                          <w:jc w:val="center"/>
                          <w:rPr>
                            <w:rFonts w:ascii="Old Standard TT" w:cs="Old Standard TT" w:eastAsia="Old Standard TT" w:hAnsi="Old Standard TT"/>
                          </w:rPr>
                        </w:pPr>
                        <w:r w:rsidDel="00000000" w:rsidR="00000000" w:rsidRPr="00000000">
                          <w:rPr>
                            <w:rFonts w:ascii="Old Standard TT" w:cs="Old Standard TT" w:eastAsia="Old Standard TT" w:hAnsi="Old Standard TT"/>
                            <w:rtl w:val="0"/>
                          </w:rPr>
                          <w:t xml:space="preserve">Author name 1</w:t>
                          <w:br w:type="textWrapping"/>
                          <w:t xml:space="preserve">Affiliation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8">
                        <w:pPr>
                          <w:spacing w:after="200" w:line="240" w:lineRule="auto"/>
                          <w:jc w:val="center"/>
                          <w:rPr>
                            <w:rFonts w:ascii="Old Standard TT" w:cs="Old Standard TT" w:eastAsia="Old Standard TT" w:hAnsi="Old Standard TT"/>
                          </w:rPr>
                        </w:pPr>
                        <w:r w:rsidDel="00000000" w:rsidR="00000000" w:rsidRPr="00000000">
                          <w:rPr>
                            <w:rFonts w:ascii="Old Standard TT" w:cs="Old Standard TT" w:eastAsia="Old Standard TT" w:hAnsi="Old Standard TT"/>
                            <w:rtl w:val="0"/>
                          </w:rPr>
                          <w:t xml:space="preserve">Author name 2</w:t>
                          <w:br w:type="textWrapping"/>
                          <w:t xml:space="preserve">Affiliation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9">
                        <w:pPr>
                          <w:spacing w:after="200" w:line="240" w:lineRule="auto"/>
                          <w:jc w:val="center"/>
                          <w:rPr>
                            <w:rFonts w:ascii="Old Standard TT" w:cs="Old Standard TT" w:eastAsia="Old Standard TT" w:hAnsi="Old Standard TT"/>
                          </w:rPr>
                        </w:pPr>
                        <w:r w:rsidDel="00000000" w:rsidR="00000000" w:rsidRPr="00000000">
                          <w:rPr>
                            <w:rFonts w:ascii="Old Standard TT" w:cs="Old Standard TT" w:eastAsia="Old Standard TT" w:hAnsi="Old Standard TT"/>
                            <w:rtl w:val="0"/>
                          </w:rPr>
                          <w:t xml:space="preserve">Author name 3</w:t>
                          <w:br w:type="textWrapping"/>
                          <w:t xml:space="preserve">Affiliation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A">
                        <w:pPr>
                          <w:spacing w:after="200" w:line="240" w:lineRule="auto"/>
                          <w:jc w:val="center"/>
                          <w:rPr>
                            <w:rFonts w:ascii="Old Standard TT" w:cs="Old Standard TT" w:eastAsia="Old Standard TT" w:hAnsi="Old Standard TT"/>
                          </w:rPr>
                        </w:pPr>
                        <w:r w:rsidDel="00000000" w:rsidR="00000000" w:rsidRPr="00000000">
                          <w:rPr>
                            <w:rFonts w:ascii="Old Standard TT" w:cs="Old Standard TT" w:eastAsia="Old Standard TT" w:hAnsi="Old Standard TT"/>
                            <w:rtl w:val="0"/>
                          </w:rPr>
                          <w:t xml:space="preserve">Author name 4</w:t>
                          <w:br w:type="textWrapping"/>
                          <w:t xml:space="preserve">Affiliation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B">
                        <w:pPr>
                          <w:spacing w:after="200" w:line="240" w:lineRule="auto"/>
                          <w:jc w:val="center"/>
                          <w:rPr>
                            <w:rFonts w:ascii="Old Standard TT" w:cs="Old Standard TT" w:eastAsia="Old Standard TT" w:hAnsi="Old Standard TT"/>
                          </w:rPr>
                        </w:pPr>
                        <w:r w:rsidDel="00000000" w:rsidR="00000000" w:rsidRPr="00000000">
                          <w:rPr>
                            <w:rFonts w:ascii="Old Standard TT" w:cs="Old Standard TT" w:eastAsia="Old Standard TT" w:hAnsi="Old Standard TT"/>
                            <w:rtl w:val="0"/>
                          </w:rPr>
                          <w:t xml:space="preserve">Author name 5</w:t>
                          <w:br w:type="textWrapping"/>
                          <w:t xml:space="preserve">Affiliation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C">
                        <w:pPr>
                          <w:spacing w:after="200" w:line="240" w:lineRule="auto"/>
                          <w:jc w:val="center"/>
                          <w:rPr>
                            <w:rFonts w:ascii="Old Standard TT" w:cs="Old Standard TT" w:eastAsia="Old Standard TT" w:hAnsi="Old Standard TT"/>
                          </w:rPr>
                        </w:pPr>
                        <w:r w:rsidDel="00000000" w:rsidR="00000000" w:rsidRPr="00000000">
                          <w:rPr>
                            <w:rFonts w:ascii="Old Standard TT" w:cs="Old Standard TT" w:eastAsia="Old Standard TT" w:hAnsi="Old Standard TT"/>
                            <w:rtl w:val="0"/>
                          </w:rPr>
                          <w:t xml:space="preserve">Author name 6</w:t>
                          <w:br w:type="textWrapping"/>
                          <w:t xml:space="preserve">Affiliation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D">
                  <w:pPr>
                    <w:spacing w:after="200" w:line="240" w:lineRule="auto"/>
                    <w:jc w:val="center"/>
                    <w:rPr>
                      <w:rFonts w:ascii="Old Standard TT" w:cs="Old Standard TT" w:eastAsia="Old Standard TT" w:hAnsi="Old Standard TT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Old Standard TT" w:cs="Old Standard TT" w:eastAsia="Old Standard TT" w:hAnsi="Old Standard TT"/>
                      <w:b w:val="1"/>
                      <w:bCs w:val="1"/>
                      <w:rtl w:val="0"/>
                    </w:rPr>
                    <w:t xml:space="preserve">With</w:t>
                    <w:br w:type="textWrapping"/>
                  </w:r>
                  <w:r w:rsidDel="00000000" w:rsidR="00000000" w:rsidRPr="00000000">
                    <w:rPr>
                      <w:rFonts w:ascii="Old Standard TT" w:cs="Old Standard TT" w:eastAsia="Old Standard TT" w:hAnsi="Old Standard TT"/>
                      <w:rtl w:val="0"/>
                    </w:rPr>
                    <w:t xml:space="preserve">Apart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spacing w:after="200" w:before="240" w:line="240" w:lineRule="auto"/>
              <w:jc w:val="center"/>
              <w:rPr>
                <w:rFonts w:ascii="Old Standard TT" w:cs="Old Standard TT" w:eastAsia="Old Standard TT" w:hAnsi="Old Standard TT"/>
                <w:b w:val="1"/>
                <w:bCs w:val="1"/>
                <w:sz w:val="28"/>
                <w:szCs w:val="28"/>
              </w:rPr>
            </w:pPr>
            <w:r>
              <w:rPr>
                <w:b w:val="0"/>
                <w:i w:val="0"/>
              </w:rPr>
            </w:r>
          </w:p>
          <w:tbl>
            <w:tblPr>
              <w:tblStyle w:val="Table4"/>
              <w:tblW w:w="7095.0" w:type="dxa"/>
              <w:jc w:val="left"/>
              <w:tblInd w:w="7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95"/>
              <w:tblGridChange w:id="0">
                <w:tblGrid>
                  <w:gridCol w:w="7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spacing w:after="200" w:line="240" w:lineRule="auto"/>
                    <w:ind w:left="540" w:right="45" w:firstLine="0"/>
                    <w:jc w:val="both"/>
                    <w:rPr>
                      <w:rFonts w:ascii="Old Standard TT" w:cs="Old Standard TT" w:eastAsia="Old Standard TT" w:hAnsi="Old Standard TT"/>
                      <w:u w:val="single"/>
                    </w:rPr>
                  </w:pPr>
                  <w:r w:rsidDel="00000000" w:rsidR="00000000" w:rsidRPr="00000000">
                    <w:rPr>
                      <w:rFonts w:ascii="Old Standard TT" w:cs="Old Standard TT" w:eastAsia="Old Standard TT" w:hAnsi="Old Standard TT"/>
                      <w:i w:val="1"/>
                      <w:iCs w:val="1"/>
                      <w:rtl w:val="0"/>
                    </w:rPr>
                    <w:t xml:space="preserve">Summarize your project in 150–250 words. A strong abstract lets a reviewer understand what you did and why it matters without reading anything else. </w:t>
                  </w:r>
                  <w:r w:rsidDel="00000000" w:rsidR="00000000" w:rsidRPr="00000000">
                    <w:rPr>
                      <w:rFonts w:ascii="Old Standard TT" w:cs="Old Standard TT" w:eastAsia="Old Standard TT" w:hAnsi="Old Standard TT"/>
                      <w:i w:val="1"/>
                      <w:iCs w:val="1"/>
                      <w:u w:val="single"/>
                      <w:rtl w:val="0"/>
                    </w:rPr>
                    <w:t xml:space="preserve">Make sure to cover: the problem, your approach, key results, and the main takeaway</w:t>
                  </w:r>
                  <w:r w:rsidDel="00000000" w:rsidR="00000000" w:rsidRPr="00000000">
                    <w:rPr>
                      <w:rFonts w:ascii="Old Standard TT" w:cs="Old Standard TT" w:eastAsia="Old Standard TT" w:hAnsi="Old Standard TT"/>
                      <w:i w:val="1"/>
                      <w:iCs w:val="1"/>
                      <w:rtl w:val="0"/>
                    </w:rPr>
                    <w:t xml:space="preserve">. Polish it last: the abstract should reflect your final results, not your initial plan.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spacing w:after="200" w:line="240" w:lineRule="auto"/>
              <w:rPr>
                <w:rFonts w:ascii="Old Standard TT" w:cs="Old Standard TT" w:eastAsia="Old Standard TT" w:hAnsi="Old Standard TT"/>
                <w:b w:val="1"/>
                <w:bCs w:val="1"/>
                <w:sz w:val="12"/>
                <w:szCs w:val="12"/>
              </w:rPr>
            </w:pPr>
            <w:r>
              <w:rPr>
                <w:b w:val="0"/>
                <w:i w:val="0"/>
              </w:rPr>
            </w:r>
          </w:p>
          <w:p>
            <w:r>
              <w:t>Algorithmic pricing agents can sustain supra-competitive prices without explicit agreements. Prior work shows that prompt cues and private communication can raise collusion; less is known about whether miscalibrated beliefs about rival retaliation are a causal lever, and whether exogenous belief correction can shut collusion down. We run a 3-arm RCT in a Calvano duopoly: an LLM focal firm elicits a prospective retaliation probability each period against a scripted rival with a known Nash-default, one-period retaliation policy. Arms are control (no rival-policy text), placebo (irrelevant market note), and corrected (accurate rival policy). We complete 21 episodes (7 runs x 3 arms x 120 rounds) and evaluate late-window price elevation vs Nash (rounds 71-120), collusion index, and Brier scores. Collusion is rare but real: clear supra-Nash episodes in 2/7 control and 2/7 corrected runs (prices ~7 vs Nash ~4.71), and 0/7 placebo. Mean elevation is higher under corrected (+0.78) than control (+0.44); placebo stays near competitive (+0.02). Belief correction therefore does not reliably reduce supra-Nash pricing. Outcomes are highly path-dependent.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rHeight w:val="3723.98437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rPr>
                <w:sz w:val="24"/>
                <w:szCs w:val="24"/>
              </w:rPr>
            </w:pPr>
            <w:r>
              <w:rPr>
                <w:b w:val="0"/>
                <w:i w:val="0"/>
              </w:rPr>
              <w:t>Keywords: LLM collusion, belief correction, algorithmic pricing, Calvano duopoly, RCT</w:t>
            </w:r>
          </w:p>
          <w:p w:rsidR="00000000" w:rsidDel="00000000" w:rsidP="00000000" w:rsidRDefault="00000000" w:rsidRPr="00000000" w14:paraId="00000015">
            <w:pPr>
              <w:pStyle w:val="Heading2"/>
              <w:rPr>
                <w:sz w:val="24"/>
                <w:szCs w:val="24"/>
              </w:rPr>
            </w:pPr>
            <w:r>
              <w:rPr>
                <w:b w:val="0"/>
                <w:i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>
                <w:sz w:val="24"/>
                <w:szCs w:val="24"/>
              </w:rPr>
            </w:pPr>
            <w:r>
              <w:rPr>
                <w:b w:val="0"/>
                <w:i w:val="0"/>
              </w:rPr>
            </w:r>
          </w:p>
          <w:p>
            <w:r>
              <w:t>Primary lever tested: accuracy of beliefs about rival retaliation (control / placebo / corrected).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8qbcgd4mhnir" w:id="4"/>
      <w:bookmarkEnd w:id="4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18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Large language model (LLM) agents used for pricing can sustain prices above the competitive (Nash) level without an explicit cartel agreement, creating antitrust and AI-safety risk (Fish et al., 2024). The Apart Collusion Sprint asks which isolatable variables make collusion form, increase, or decrease.</w:t>
      </w:r>
    </w:p>
    <w:p w:rsidR="00000000" w:rsidDel="00000000" w:rsidP="00000000" w:rsidRDefault="00000000" w:rsidRPr="00000000" w14:paraId="00000019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We address Track 1.1: whether inaccurate beliefs about rival retaliation sustain supra-Nash pricing, and whether telling the agent the true rival policy ("belief correction") reduces elevation relative to a no-info control, while a matched-length placebo note does not.</w:t>
      </w:r>
    </w:p>
    <w:p w:rsidR="00000000" w:rsidDel="00000000" w:rsidP="00000000" w:rsidRDefault="00000000" w:rsidRPr="00000000" w14:paraId="0000001A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Threat model / failure mode. An LLM pricing agent misunderstands retaliation, locks into a high-price path, and harms consumers even when the rival is not reciprocating. A cheap proposed mitigation is to inject accurate rival-policy text into the prompt. We test whether that mitigation works.</w:t>
      </w:r>
    </w:p>
    <w:p w:rsidR="00000000" w:rsidDel="00000000" w:rsidP="00000000" w:rsidRDefault="00000000" w:rsidRPr="00000000" w14:paraId="0000001B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Our main contributions are:</w:t>
      </w:r>
    </w:p>
    <w:p w:rsidR="00000000" w:rsidDel="00000000" w:rsidP="00000000" w:rsidRDefault="00000000" w:rsidRPr="00000000" w14:paraId="0000001C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1. A 3-arm RCT (control / placebo / corrected) in a Calvano duopoly with a scripted ground-truth retaliating rival and elicited p_retaliation forecasts.</w:t>
      </w:r>
    </w:p>
    <w:p w:rsidR="00000000" w:rsidDel="00000000" w:rsidP="00000000" w:rsidRDefault="00000000" w:rsidRPr="00000000" w14:paraId="0000001D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2. A complete mid-scale experiment: 21 episodes (7x3x120 rounds) with preregistered late-window elevation, collusion index, and Brier metrics, plus figures showing where collusion occurs.</w:t>
      </w:r>
    </w:p>
    <w:p w:rsidR="00000000" w:rsidDel="00000000" w:rsidP="00000000" w:rsidRDefault="00000000" w:rsidRPr="00000000" w14:paraId="0000001E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3. An honest negative result: belief correction does not reliably prevent supra-Nash pricing; collusion is rare, path-dependent, and can appear under both control and corrected arms (never under placebo in our sample).</w:t>
      </w:r>
    </w:p>
    <w:p w:rsidR="00000000" w:rsidDel="00000000" w:rsidP="00000000" w:rsidRDefault="00000000" w:rsidRPr="00000000" w14:paraId="0000001F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0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4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vzobftj4w235" w:id="5"/>
      <w:bookmarkEnd w:id="5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2. Related Work</w:t>
      </w:r>
    </w:p>
    <w:p w:rsidR="00000000" w:rsidDel="00000000" w:rsidP="00000000" w:rsidRDefault="00000000" w:rsidRPr="00000000" w14:paraId="00000026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Fish et al. (2024) document LLM pricing collusion and show that seemingly innocuous prompt cues can raise collusion. Nakamura et al. (2026) show that private agent-to-agent talk can introduce collusion. Classic oligopoly / Folk Theorem results imply that adding firms or competition often reduces collusion. Calvano et al. (2020) provide the algorithmic pricing environment we use.</w:t>
      </w:r>
    </w:p>
    <w:p w:rsidR="00000000" w:rsidDel="00000000" w:rsidP="00000000" w:rsidRDefault="00000000" w:rsidRPr="00000000" w14:paraId="00000027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Gap. Prior work varies prompt tone, communication, or market structure. Less is known about beliefs about rival retaliation as a single causal lever with ground-truth rival behavior and a placebo information arm.</w:t>
      </w:r>
    </w:p>
    <w:p w:rsidR="00000000" w:rsidDel="00000000" w:rsidP="00000000" w:rsidRDefault="00000000" w:rsidRPr="00000000" w14:paraId="00000028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When to use our method. Use this design to audit whether "tell the model the true policy" mitigations actually move pricing outcomes, and to score forecast calibration (Brier) against a known rival script.</w:t>
      </w:r>
    </w:p>
    <w:p w:rsidR="00000000" w:rsidDel="00000000" w:rsidP="00000000" w:rsidRDefault="00000000" w:rsidRPr="00000000" w14:paraId="00000029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C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2D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ylbu4j4ljvkd" w:id="6"/>
      <w:bookmarkEnd w:id="6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3. Methods</w:t>
      </w:r>
    </w:p>
    <w:p w:rsidR="00000000" w:rsidDel="00000000" w:rsidP="00000000" w:rsidRDefault="00000000" w:rsidRPr="00000000" w14:paraId="0000002E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Environment. Calvano logit-demand duopoly with alpha=3.2, a=2.0, c=1.0, mu=0.25. Nash price pN~4.713; monopoly pM~6.160. Firm A is an LLM (Modal OpenAI-compatible endpoint support-chat). Firm B is scripted: posts Nash by default; if Firm A cuts by more than delta=0.05, Firm B retaliates next period by -0.10 for exactly one period, then returns to Nash.</w:t>
      </w:r>
    </w:p>
    <w:p w:rsidR="00000000" w:rsidDel="00000000" w:rsidP="00000000" w:rsidRDefault="00000000" w:rsidRPr="00000000" w14:paraId="0000002F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RCT arms (Firm A prefix only; all arms elicit p_retaliation each round). Control: no rival-policy text. Placebo: irrelevant seasonal/shipping note of similar length, explicitly not a rival rule. Corrected: accurate description of the scripted rival policy.</w:t>
      </w:r>
    </w:p>
    <w:p w:rsidR="00000000" w:rsidDel="00000000" w:rsidP="00000000" w:rsidRDefault="00000000" w:rsidRPr="00000000" w14:paraId="00000030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Protocol. 120 rounds x 7 independent episodes x 3 arms = 21 episodes. Memory window 100 periods; rate limit 1.1s. Primary eval window: rounds 71-120. Primary outcome: mean price elevation pA-pN. Secondary: collusion index (pA-pN)/(pM-pN); Brier score on focal cut rounds.</w:t>
      </w:r>
    </w:p>
    <w:p w:rsidR="00000000" w:rsidDel="00000000" w:rsidP="00000000" w:rsidRDefault="00000000" w:rsidRPr="00000000" w14:paraId="00000031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  <w:t>Replication. Code: experiments_synthetic/duopoly_belief_correction.py; metrics: src/analysis/belief_calibration.py; data: experiments_synthetic/experiments_runs/2_agent_1/.</w:t>
      </w:r>
    </w:p>
    <w:p>
      <w:r>
        <w:rPr>
          <w:b w:val="0"/>
          <w:i w:val="0"/>
        </w:rPr>
        <w:t>Constraints. Full 300x7 Fish-scale runs were infeasible in the sprint window; we used mid-scale 120x7. Modal 503 cold starts caused retries but all 21 episodes completed.</w:t>
      </w:r>
    </w:p>
    <w:p>
      <w:pPr>
        <w:jc w:val="center"/>
      </w:pPr>
      <w:r>
        <w:drawing>
          <wp:inline>
            <wp:extent cx="5669280" cy="1547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 1. Track 1.1 belief-correction experiment design.</w:t>
      </w:r>
    </w:p>
    <w:p w:rsidR="00000000" w:rsidDel="00000000" w:rsidP="00000000" w:rsidRDefault="00000000" w:rsidRPr="00000000" w14:paraId="00000032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6bk7befxzvsr" w:id="7"/>
      <w:bookmarkEnd w:id="7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4. Results</w:t>
      </w:r>
    </w:p>
    <w:p w:rsidR="00000000" w:rsidDel="00000000" w:rsidP="00000000" w:rsidRDefault="00000000" w:rsidRPr="00000000" w14:paraId="00000033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Table 1 summarizes late-window outcomes. Clear collusion (elevation &gt; 0.5) occurs in 2/7 control and 2/7 corrected episodes, and in 0/7 placebo episodes. Mean elevation is +0.44 (control), +0.02 (placebo), +0.78 (corrected). Medians in all arms sit near zero: means are outlier-driven.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Arm</w:t>
            </w:r>
          </w:p>
        </w:tc>
        <w:tc>
          <w:tcPr>
            <w:tcW w:type="dxa" w:w="1560"/>
          </w:tcPr>
          <w:p>
            <w:r>
              <w:t>Mean elev (SE)</w:t>
            </w:r>
          </w:p>
        </w:tc>
        <w:tc>
          <w:tcPr>
            <w:tcW w:type="dxa" w:w="1560"/>
          </w:tcPr>
          <w:p>
            <w:r>
              <w:t>Median</w:t>
            </w:r>
          </w:p>
        </w:tc>
        <w:tc>
          <w:tcPr>
            <w:tcW w:type="dxa" w:w="1560"/>
          </w:tcPr>
          <w:p>
            <w:r>
              <w:t>Mean price</w:t>
            </w:r>
          </w:p>
        </w:tc>
        <w:tc>
          <w:tcPr>
            <w:tcW w:type="dxa" w:w="1560"/>
          </w:tcPr>
          <w:p>
            <w:r>
              <w:t>High (&gt;0.5)</w:t>
            </w:r>
          </w:p>
        </w:tc>
        <w:tc>
          <w:tcPr>
            <w:tcW w:type="dxa" w:w="1560"/>
          </w:tcPr>
          <w:p>
            <w:r>
              <w:t>Brier (cuts)</w:t>
            </w:r>
          </w:p>
        </w:tc>
      </w:tr>
      <w:tr>
        <w:tc>
          <w:tcPr>
            <w:tcW w:type="dxa" w:w="1560"/>
          </w:tcPr>
          <w:p>
            <w:r>
              <w:t>control</w:t>
            </w:r>
          </w:p>
        </w:tc>
        <w:tc>
          <w:tcPr>
            <w:tcW w:type="dxa" w:w="1560"/>
          </w:tcPr>
          <w:p>
            <w:r>
              <w:t>+0.440 (0.327)</w:t>
            </w:r>
          </w:p>
        </w:tc>
        <w:tc>
          <w:tcPr>
            <w:tcW w:type="dxa" w:w="1560"/>
          </w:tcPr>
          <w:p>
            <w:r>
              <w:t>+0.000</w:t>
            </w:r>
          </w:p>
        </w:tc>
        <w:tc>
          <w:tcPr>
            <w:tcW w:type="dxa" w:w="1560"/>
          </w:tcPr>
          <w:p>
            <w:r>
              <w:t>5.15</w:t>
            </w:r>
          </w:p>
        </w:tc>
        <w:tc>
          <w:tcPr>
            <w:tcW w:type="dxa" w:w="1560"/>
          </w:tcPr>
          <w:p>
            <w:r>
              <w:t>2/7</w:t>
            </w:r>
          </w:p>
        </w:tc>
        <w:tc>
          <w:tcPr>
            <w:tcW w:type="dxa" w:w="1560"/>
          </w:tcPr>
          <w:p>
            <w:r>
              <w:t>0.434</w:t>
            </w:r>
          </w:p>
        </w:tc>
      </w:tr>
      <w:tr>
        <w:tc>
          <w:tcPr>
            <w:tcW w:type="dxa" w:w="1560"/>
          </w:tcPr>
          <w:p>
            <w:r>
              <w:t>placebo</w:t>
            </w:r>
          </w:p>
        </w:tc>
        <w:tc>
          <w:tcPr>
            <w:tcW w:type="dxa" w:w="1560"/>
          </w:tcPr>
          <w:p>
            <w:r>
              <w:t>+0.024 (0.046)</w:t>
            </w:r>
          </w:p>
        </w:tc>
        <w:tc>
          <w:tcPr>
            <w:tcW w:type="dxa" w:w="1560"/>
          </w:tcPr>
          <w:p>
            <w:r>
              <w:t>-0.003</w:t>
            </w:r>
          </w:p>
        </w:tc>
        <w:tc>
          <w:tcPr>
            <w:tcW w:type="dxa" w:w="1560"/>
          </w:tcPr>
          <w:p>
            <w:r>
              <w:t>4.74</w:t>
            </w:r>
          </w:p>
        </w:tc>
        <w:tc>
          <w:tcPr>
            <w:tcW w:type="dxa" w:w="1560"/>
          </w:tcPr>
          <w:p>
            <w:r>
              <w:t>0/7</w:t>
            </w:r>
          </w:p>
        </w:tc>
        <w:tc>
          <w:tcPr>
            <w:tcW w:type="dxa" w:w="1560"/>
          </w:tcPr>
          <w:p>
            <w:r>
              <w:t>0.527</w:t>
            </w:r>
          </w:p>
        </w:tc>
      </w:tr>
      <w:tr>
        <w:tc>
          <w:tcPr>
            <w:tcW w:type="dxa" w:w="1560"/>
          </w:tcPr>
          <w:p>
            <w:r>
              <w:t>corrected</w:t>
            </w:r>
          </w:p>
        </w:tc>
        <w:tc>
          <w:tcPr>
            <w:tcW w:type="dxa" w:w="1560"/>
          </w:tcPr>
          <w:p>
            <w:r>
              <w:t>+0.784 (0.511)</w:t>
            </w:r>
          </w:p>
        </w:tc>
        <w:tc>
          <w:tcPr>
            <w:tcW w:type="dxa" w:w="1560"/>
          </w:tcPr>
          <w:p>
            <w:r>
              <w:t>-0.003</w:t>
            </w:r>
          </w:p>
        </w:tc>
        <w:tc>
          <w:tcPr>
            <w:tcW w:type="dxa" w:w="1560"/>
          </w:tcPr>
          <w:p>
            <w:r>
              <w:t>5.50</w:t>
            </w:r>
          </w:p>
        </w:tc>
        <w:tc>
          <w:tcPr>
            <w:tcW w:type="dxa" w:w="1560"/>
          </w:tcPr>
          <w:p>
            <w:r>
              <w:t>2/7</w:t>
            </w:r>
          </w:p>
        </w:tc>
        <w:tc>
          <w:tcPr>
            <w:tcW w:type="dxa" w:w="1560"/>
          </w:tcPr>
          <w:p>
            <w:r>
              <w:t>0.417</w:t>
            </w:r>
          </w:p>
        </w:tc>
      </w:tr>
    </w:tbl>
    <w:p>
      <w:r>
        <w:rPr>
          <w:i/>
        </w:rPr>
        <w:t>Table 1. Late-window (rounds 71-120) outcomes by RCT arm (n=7). High = elevation &gt; 0.5.</w:t>
      </w:r>
    </w:p>
    <w:p w:rsidR="00000000" w:rsidDel="00000000" w:rsidP="00000000" w:rsidRDefault="00000000" w:rsidRPr="00000000" w14:paraId="00000034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Observation vs interpretation. Observation: high-price lock-ins exist and are concentrated in control/corrected, not placebo. Interpretation: irrelevant prompt length alone does not produce collusion here; accurate belief text is not a reliable off-switch for supra-Nash pricing in this design.</w:t>
      </w:r>
    </w:p>
    <w:p w:rsidR="00000000" w:rsidDel="00000000" w:rsidP="00000000" w:rsidRDefault="00000000" w:rsidRPr="00000000" w14:paraId="00000035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Robustness. With n=7 and heavy tails, differences in means are not statistically precise (SEs ~0.33-0.51 for elevation). The qualitative pattern—rare path-dependent collusion; placebo always competitive—is stable across the completed batch.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Figure 1 shows the design. Figure 2 shows elevation by arm and where clear collusion occurs. Figure 3 plots high-price lock-ins versus a competitive placebo path.</w:t>
      </w:r>
    </w:p>
    <w:p>
      <w:pPr>
        <w:jc w:val="center"/>
      </w:pPr>
      <w:r>
        <w:drawing>
          <wp:inline>
            <wp:extent cx="5669280" cy="2291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m_outco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 2. Elevation by arm and where clear collusion occurs (elev &gt; 0.5).</w:t>
      </w:r>
    </w:p>
    <w:p>
      <w:pPr>
        <w:jc w:val="center"/>
      </w:pPr>
      <w:r>
        <w:drawing>
          <wp:inline>
            <wp:extent cx="5669280" cy="3993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lusion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 3. Price paths where collusion occurs (high elev) vs a competitive placebo episode.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8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A">
      <w:pPr>
        <w:ind w:left="600" w:firstLine="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320" w:right="60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320" w:right="60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320" w:right="60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320" w:right="600" w:hanging="360"/>
        <w:rPr>
          <w:rFonts w:ascii="Old Standard TT" w:cs="Old Standard TT" w:eastAsia="Old Standard TT" w:hAnsi="Old Standard TT"/>
          <w:b w:val="1"/>
          <w:b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3F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40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ppzvk7gh0zyc" w:id="8"/>
      <w:bookmarkEnd w:id="8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5. Discussion and Limitations</w:t>
      </w:r>
    </w:p>
    <w:p w:rsidR="00000000" w:rsidDel="00000000" w:rsidP="00000000" w:rsidRDefault="00000000" w:rsidRPr="00000000" w14:paraId="00000041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Implications for AI safety. Prompted belief correction is an attractive, low-cost mitigation, but our results caution against treating it as sufficient. Monitoring should track rare high-price lock-ins and outcome distributions, not only average elevation or self-reported beliefs. Elicited p_retaliation remains useful as a measurement channel against ground truth.</w:t>
      </w:r>
    </w:p>
    <w:p w:rsidR="00000000" w:rsidDel="00000000" w:rsidP="00000000" w:rsidRDefault="00000000" w:rsidRPr="00000000" w14:paraId="00000042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Trends. Most episodes converge near Nash. A minority lock into prices near 7 (above monopoly ~6.16) while the scripted rival stays near Nash—consistent with attempted high pricing against a non-reciprocating rival rather than joint monopoly.</w:t>
      </w:r>
    </w:p>
    <w:p w:rsidR="00000000" w:rsidDel="00000000" w:rsidP="00000000" w:rsidRDefault="00000000" w:rsidRPr="00000000" w14:paraId="00000043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44">
      <w:pPr>
        <w:pStyle w:val="Heading3"/>
        <w:spacing w:before="200" w:lineRule="auto"/>
        <w:rPr>
          <w:rFonts w:ascii="Old Standard TT" w:cs="Old Standard TT" w:eastAsia="Old Standard TT" w:hAnsi="Old Standard TT"/>
          <w:b w:val="1"/>
          <w:bCs w:val="1"/>
          <w:color w:val="000000"/>
          <w:sz w:val="26"/>
          <w:szCs w:val="26"/>
        </w:rPr>
      </w:pPr>
      <w:bookmarkStart w:colFirst="0" w:colLast="0" w:name="_mt2hai21ycmy" w:id="9"/>
      <w:bookmarkEnd w:id="9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45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Mid-scale only (120 rounds, 7 seeds): underpowered for rare events; means unstable. Scripted rival identifies beliefs vs a known policy but does not claim results for mutual LLM-LLM collusion. Single model endpoint; API cold starts. The overall_summary.csv field n_rounds=50 refers to eval-window length, not episode length (episodes are 120). We do not claim beliefs are irrelevant—only that this correction text did not reliably lower prices.</w:t>
      </w:r>
    </w:p>
    <w:p w:rsidR="00000000" w:rsidDel="00000000" w:rsidP="00000000" w:rsidRDefault="00000000" w:rsidRPr="00000000" w14:paraId="00000046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47">
      <w:pPr>
        <w:pStyle w:val="Heading3"/>
        <w:spacing w:before="200" w:lineRule="auto"/>
        <w:rPr>
          <w:rFonts w:ascii="Old Standard TT" w:cs="Old Standard TT" w:eastAsia="Old Standard TT" w:hAnsi="Old Standard TT"/>
          <w:b w:val="1"/>
          <w:bCs w:val="1"/>
          <w:color w:val="000000"/>
          <w:sz w:val="26"/>
          <w:szCs w:val="26"/>
        </w:rPr>
      </w:pPr>
      <w:bookmarkStart w:colFirst="0" w:colLast="0" w:name="_8557errvyjvx" w:id="10"/>
      <w:bookmarkEnd w:id="10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color w:val="000000"/>
          <w:sz w:val="26"/>
          <w:szCs w:val="26"/>
          <w:rtl w:val="0"/>
        </w:rPr>
        <w:t xml:space="preserve">Future Work</w:t>
      </w:r>
    </w:p>
    <w:p w:rsidR="00000000" w:rsidDel="00000000" w:rsidP="00000000" w:rsidRDefault="00000000" w:rsidRPr="00000000" w14:paraId="00000048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Full 300-round / larger n for power on rare collusion events; LLM-LLM duopoly with the same belief RCT; combine correction with communication bans or hard price caps; classify high-price episodes via reasoning text; human comparison on the same elicitation task.</w:t>
      </w:r>
    </w:p>
    <w:p w:rsidR="00000000" w:rsidDel="00000000" w:rsidP="00000000" w:rsidRDefault="00000000" w:rsidRPr="00000000" w14:paraId="00000049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g0zphsq5kocm" w:id="11"/>
      <w:bookmarkEnd w:id="11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6. Conclusion</w:t>
      </w:r>
    </w:p>
    <w:p w:rsidR="00000000" w:rsidDel="00000000" w:rsidP="00000000" w:rsidRDefault="00000000" w:rsidRPr="00000000" w14:paraId="0000004B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We tested Track 1.1 belief correction as a single lever for LLM pricing collusion. In 21 Calvano duopoly episodes against a scripted retaliator, clear supra-Nash pricing appeared rarely but in both control and corrected arms (never placebo). Belief correction did not reliably reduce elevation. Collusion here is path-dependent; information patches alone are a weak safety guarantee.</w:t>
      </w:r>
    </w:p>
    <w:p w:rsidR="00000000" w:rsidDel="00000000" w:rsidP="00000000" w:rsidRDefault="00000000" w:rsidRPr="00000000" w14:paraId="0000004C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4D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mr10dpvy1fo3" w:id="12"/>
      <w:bookmarkEnd w:id="12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Code and Data</w:t>
      </w:r>
    </w:p>
    <w:p w:rsidR="00000000" w:rsidDel="00000000" w:rsidP="00000000" w:rsidRDefault="00000000" w:rsidRPr="00000000" w14:paraId="0000004E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Code repository: local project algorithmic_pricing_llms (experiments_synthetic/duopoly_belief_correction.py).</w:t>
      </w:r>
    </w:p>
    <w:p w:rsidR="00000000" w:rsidDel="00000000" w:rsidP="00000000" w:rsidRDefault="00000000" w:rsidRPr="00000000" w14:paraId="0000004F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Data/Datasets: experiments_synthetic/experiments_runs/2_agent_1/ (21 episode folders with results.json, results_plot.svg, metadata.json) and overall_summary.csv (~8.4 MB total).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>
        <w:rPr>
          <w:b w:val="0"/>
          <w:i w:val="0"/>
        </w:rPr>
        <w:t>Other artifacts: reports/ figures (design, arm outcomes, collusion paths); this submission document.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>
        <w:rPr>
          <w:b w:val="0"/>
          <w:i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>
        <w:rPr>
          <w:b w:val="0"/>
          <w:i w:val="0"/>
        </w:rPr>
      </w:r>
    </w:p>
    <w:p w:rsidR="00000000" w:rsidDel="00000000" w:rsidP="00000000" w:rsidRDefault="00000000" w:rsidRPr="00000000" w14:paraId="00000053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54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e0a27xxh95z" w:id="13"/>
      <w:bookmarkEnd w:id="13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Author Contributions (optional) </w:t>
      </w:r>
    </w:p>
    <w:p w:rsidR="00000000" w:rsidDel="00000000" w:rsidP="00000000" w:rsidRDefault="00000000" w:rsidRPr="00000000" w14:paraId="00000055">
      <w:pPr>
        <w:rPr>
          <w:rFonts w:ascii="Old Standard TT" w:cs="Old Standard TT" w:eastAsia="Old Standard TT" w:hAnsi="Old Standard TT"/>
        </w:rPr>
      </w:pPr>
      <w:r>
        <w:t>Sachin Ruhil designed the Track 1.1 RCT, ran the experiments, analyzed results, and wrote the report.</w:t>
      </w:r>
    </w:p>
    <w:p w:rsidR="00000000" w:rsidDel="00000000" w:rsidP="00000000" w:rsidRDefault="00000000" w:rsidRPr="00000000" w14:paraId="00000056">
      <w:pPr>
        <w:rPr>
          <w:rFonts w:ascii="Old Standard TT" w:cs="Old Standard TT" w:eastAsia="Old Standard TT" w:hAnsi="Old Standard T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clnaj6i6c2pc" w:id="14"/>
      <w:bookmarkEnd w:id="14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58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Fish, S., et al. (2024). Algorithmic collusion with large language models / related pricing experiments.</w:t>
      </w:r>
    </w:p>
    <w:p w:rsidR="00000000" w:rsidDel="00000000" w:rsidP="00000000" w:rsidRDefault="00000000" w:rsidRPr="00000000" w14:paraId="00000059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Calvano, E., Calzolari, G., Denicolo, V., &amp; Pastorello, S. (2020). Artificial Intelligence, Algorithmic Pricing, and Collusion. American Economic Review.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Nakamura, et al. (2026). Private communication and LLM collusion (as cited in Apart sprint brief).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Apart Research (2026). AI Collusion Research Sprint guidelines and Track 1.1 brief.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5D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5E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q3i2vokodzdm" w:id="15"/>
      <w:bookmarkEnd w:id="15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Appendix (optional)</w:t>
      </w:r>
    </w:p>
    <w:p w:rsidR="00000000" w:rsidDel="00000000" w:rsidP="00000000" w:rsidRDefault="00000000" w:rsidRPr="00000000" w14:paraId="0000005F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A. Variables / levers. Tested: belief accuracy about rival retaliation (control / placebo / corrected). Held fixed: n=2 firms, no private chat, alpha=3.2, scripted retaliation policy (delta=0.05, drop=0.10). Measured: elevation, collusion index, Brier, p_retaliation.</w:t>
      </w:r>
    </w:p>
    <w:p>
      <w:r>
        <w:rPr>
          <w:b w:val="0"/>
          <w:i w:val="0"/>
        </w:rPr>
        <w:t>B. Per-arm elevation vectors (eval 71-120):</w:t>
      </w:r>
    </w:p>
    <w:p>
      <w:r>
        <w:rPr>
          <w:b w:val="0"/>
          <w:i w:val="0"/>
        </w:rPr>
        <w:t>control: [-0.024, 0.038, 2.287, -0.003, -0.003, 0.0, 0.787]</w:t>
      </w:r>
    </w:p>
    <w:p>
      <w:r>
        <w:rPr>
          <w:b w:val="0"/>
          <w:i w:val="0"/>
        </w:rPr>
        <w:t>placebo: [-0.004, -0.003, -0.103, -0.003, -0.003, 0.287, -0.001]</w:t>
      </w:r>
    </w:p>
    <w:p>
      <w:r>
        <w:rPr>
          <w:b w:val="0"/>
          <w:i w:val="0"/>
        </w:rPr>
        <w:t>corrected: [-0.003, -0.013, -0.003, 2.557, 2.957, -0.003, 0.0]</w:t>
      </w:r>
    </w:p>
    <w:p>
      <w:r>
        <w:rPr>
          <w:b w:val="0"/>
          <w:i w:val="0"/>
        </w:rPr>
        <w:t>C. Dual-use / ethics. Detection and mitigation study for auditors/regulators. No instructions for real-market price-fixing. Recommended use: stress-test LLM pricing stacks before deployment.</w:t>
      </w:r>
    </w:p>
    <w:p>
      <w:r>
        <w:rPr>
          <w:b w:val="0"/>
          <w:i w:val="0"/>
        </w:rPr>
        <w:t>D. Prompts. RCT_CORRECTED / RCT_PLACEBO / FORECAST_INSTRUCTION in src/prompts/prompts.py.</w:t>
      </w:r>
    </w:p>
    <w:p w:rsidR="00000000" w:rsidDel="00000000" w:rsidP="00000000" w:rsidRDefault="00000000" w:rsidRPr="00000000" w14:paraId="00000060">
      <w:pPr>
        <w:pStyle w:val="Heading2"/>
        <w:spacing w:after="0" w:before="200" w:line="360" w:lineRule="auto"/>
        <w:rPr>
          <w:rFonts w:ascii="Old Standard TT" w:cs="Old Standard TT" w:eastAsia="Old Standard TT" w:hAnsi="Old Standard TT"/>
          <w:b w:val="1"/>
          <w:bCs w:val="1"/>
          <w:sz w:val="28"/>
          <w:szCs w:val="28"/>
        </w:rPr>
      </w:pPr>
      <w:bookmarkStart w:colFirst="0" w:colLast="0" w:name="_pqm421e0rdhv" w:id="16"/>
      <w:bookmarkEnd w:id="16"/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8"/>
          <w:szCs w:val="28"/>
          <w:rtl w:val="0"/>
        </w:rPr>
        <w:t xml:space="preserve">LLM Usage Statement</w:t>
      </w:r>
    </w:p>
    <w:p w:rsidR="00000000" w:rsidDel="00000000" w:rsidP="00000000" w:rsidRDefault="00000000" w:rsidRPr="00000000" w14:paraId="00000061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  <w:t>We used Cursor/LLM assistance to implement experiment code, draft report sections, and generate figures. All quantitative results were recomputed from saved episode outputs (overall_summary.csv / belief_calibration.py) and independently verified by the author. Final claims were reviewed by Sachin Ruhil.</w:t>
      </w:r>
    </w:p>
    <w:p w:rsidR="00000000" w:rsidDel="00000000" w:rsidP="00000000" w:rsidRDefault="00000000" w:rsidRPr="00000000" w14:paraId="00000062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63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64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65">
      <w:pPr>
        <w:rPr>
          <w:rFonts w:ascii="Old Standard TT" w:cs="Old Standard TT" w:eastAsia="Old Standard TT" w:hAnsi="Old Standard TT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66">
      <w:pPr>
        <w:rPr/>
      </w:pPr>
      <w:r>
        <w:rPr>
          <w:b w:val="0"/>
          <w:i w:val="0"/>
        </w:rPr>
      </w:r>
    </w:p>
    <w:p w:rsidR="00000000" w:rsidDel="00000000" w:rsidP="00000000" w:rsidRDefault="00000000" w:rsidRPr="00000000" w14:paraId="00000067">
      <w:pPr>
        <w:rPr>
          <w:rFonts w:ascii="Old Standard TT" w:cs="Old Standard TT" w:eastAsia="Old Standard TT" w:hAnsi="Old Standard TT"/>
          <w:i w:val="1"/>
          <w:iCs w:val="1"/>
        </w:rPr>
      </w:pPr>
      <w:r>
        <w:rPr>
          <w:b w:val="0"/>
          <w:i w:val="0"/>
        </w:rPr>
      </w:r>
    </w:p>
    <w:p w:rsidR="00000000" w:rsidDel="00000000" w:rsidP="00000000" w:rsidRDefault="00000000" w:rsidRPr="00000000" w14:paraId="00000068">
      <w:pPr>
        <w:rPr/>
      </w:pPr>
      <w:r>
        <w:rPr>
          <w:b w:val="0"/>
          <w:i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9">
      <w:pPr>
        <w:spacing w:after="200" w:line="240" w:lineRule="auto"/>
        <w:rPr>
          <w:rFonts w:ascii="Old Standard TT" w:cs="Old Standard TT" w:eastAsia="Old Standard TT" w:hAnsi="Old Standard TT"/>
          <w:sz w:val="20"/>
          <w:szCs w:val="20"/>
          <w:shd w:fill="f4cccc" w:val="clear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Old Standard TT" w:cs="Old Standard TT" w:eastAsia="Old Standard TT" w:hAnsi="Old Standard TT"/>
          <w:sz w:val="20"/>
          <w:szCs w:val="20"/>
          <w:rtl w:val="0"/>
        </w:rPr>
        <w:t xml:space="preserve"> Research conducted at the </w:t>
      </w:r>
      <w:hyperlink r:id="rId1">
        <w:r w:rsidDel="00000000" w:rsidR="00000000" w:rsidRPr="00000000">
          <w:rPr>
            <w:rFonts w:ascii="Old Standard TT" w:cs="Old Standard TT" w:eastAsia="Old Standard TT" w:hAnsi="Old Standard TT"/>
            <w:color w:val="1155cc"/>
            <w:sz w:val="20"/>
            <w:szCs w:val="20"/>
            <w:u w:val="single"/>
            <w:rtl w:val="0"/>
          </w:rPr>
          <w:t xml:space="preserve">AI Collusion Research Sprint</w:t>
        </w:r>
      </w:hyperlink>
      <w:r w:rsidDel="00000000" w:rsidR="00000000" w:rsidRPr="00000000">
        <w:rPr>
          <w:rFonts w:ascii="Old Standard TT" w:cs="Old Standard TT" w:eastAsia="Old Standard TT" w:hAnsi="Old Standard TT"/>
          <w:sz w:val="20"/>
          <w:szCs w:val="20"/>
          <w:rtl w:val="0"/>
        </w:rPr>
        <w:t xml:space="preserve">, October 2026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artresearch.notion.site/sprint-evaluation-rubric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apartresearch.com/sprints/ai-collusion-research-sprint-2026-10-23-to-2026-10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