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720"/>
        <w:jc w:val="center"/>
      </w:pPr>
      <w:r>
        <w:rPr>
          <w:rFonts w:ascii="Times New Roman" w:hAnsi="Times New Roman" w:eastAsia="黑体"/>
          <w:b/>
          <w:i w:val="0"/>
          <w:sz w:val="44"/>
        </w:rPr>
        <w:t>你的角色扮演微调究竟教到了什么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作 者：（待填）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完成日期：2026 年 10 月</w:t>
      </w:r>
    </w:p>
    <w:p>
      <w:r>
        <w:br w:type="page"/>
      </w:r>
    </w:p>
    <w:p>
      <w:pPr>
        <w:pStyle w:val="Heading1"/>
        <w:spacing w:before="360" w:after="360" w:line="360" w:lineRule="auto"/>
        <w:jc w:val="center"/>
      </w:pPr>
      <w:r>
        <w:rPr>
          <w:rFonts w:ascii="Times New Roman" w:hAnsi="Times New Roman" w:eastAsia="黑体"/>
          <w:b/>
          <w:i w:val="0"/>
          <w:sz w:val="32"/>
        </w:rPr>
        <w:t>你的角色扮演微调究竟教到了什么：对一个 9B 模型六轮迭代的审计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What Did Your Persona Fine-Tuning Actually Teach? An Audit of Six-Turn Iterations on a 9B Model</w:t>
      </w:r>
    </w:p>
    <w:p>
      <w:r>
        <w:br w:type="page"/>
      </w:r>
    </w:p>
    <w:p>
      <w:pPr>
        <w:pStyle w:val="Heading2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8"/>
        </w:rPr>
        <w:t>摘要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角色扮演（role-playing, RP）微调是开源社区的常见做法：将角色设定写入权重，期望模型"不依赖提示也能维持人格"。我们沿用这一标准流程，对一个 9B 中文模型执行了六轮迭代（SFT → DPO → v4 → v5 → v5.1），每轮都用同一套协议评测。审计过程中发现一个此前未被系统讨论的问题：</w:t>
      </w:r>
      <w:r>
        <w:rPr>
          <w:rFonts w:ascii="Times New Roman" w:hAnsi="Times New Roman" w:eastAsia="宋体"/>
          <w:b/>
          <w:i w:val="0"/>
          <w:sz w:val="21"/>
        </w:rPr>
        <w:t>在标准评测协议下（system 携带角色卡），所报告的人格一致性无法归因于权重更新</w:t>
      </w:r>
      <w:r>
        <w:rPr>
          <w:rFonts w:ascii="Times New Roman" w:hAnsi="Times New Roman" w:eastAsia="宋体"/>
          <w:b w:val="0"/>
          <w:i w:val="0"/>
          <w:sz w:val="21"/>
        </w:rPr>
        <w:t>。在一个受控对照中，未微调的基座模型在 8 条日常闲聊上人设命中率 75%，而经过微调的版本为 50%——基座优于微调后。若仅报告微调后的模型，结论恰好相反。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我们进一步指出混淆的具体机制，将其分解为可分离的三轴协议（带卡 / 去卡 / 卡对抗），并给出配套的分层报告规范（区分人设腔与生活细节、报告 finish_reason 与置信区间、模型标签须从服务端口反查）。审计过程中我们记录了三个可复现的方法论事故：留出门禁失败却仍继续训练、评测集与训练集 49% 重合、以及因脚本硬编码模型标签而伪造出的"Q5 优于 Q4"结论（真实测量 p=0.43，无差异）。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（配比变化见</w:t>
      </w:r>
      <w:r>
        <w:rPr>
          <w:rFonts w:ascii="Times New Roman" w:hAnsi="Times New Roman" w:eastAsia="宋体"/>
          <w:b/>
          <w:i w:val="0"/>
          <w:sz w:val="21"/>
        </w:rPr>
        <w:t>图 5</w:t>
      </w:r>
      <w:r>
        <w:rPr>
          <w:rFonts w:ascii="Times New Roman" w:hAnsi="Times New Roman" w:eastAsia="宋体"/>
          <w:b w:val="0"/>
          <w:i w:val="0"/>
          <w:sz w:val="21"/>
        </w:rPr>
        <w:t>，它同时解释了为何我们无法做归因，见 §7）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作为副产物，我们发现量化对 RP 模型的影响是</w:t>
      </w:r>
      <w:r>
        <w:rPr>
          <w:rFonts w:ascii="Times New Roman" w:hAnsi="Times New Roman" w:eastAsia="宋体"/>
          <w:b/>
          <w:i w:val="0"/>
          <w:sz w:val="21"/>
        </w:rPr>
        <w:t>能力分层</w:t>
      </w:r>
      <w:r>
        <w:rPr>
          <w:rFonts w:ascii="Times New Roman" w:hAnsi="Times New Roman" w:eastAsia="宋体"/>
          <w:b w:val="0"/>
          <w:i w:val="0"/>
          <w:sz w:val="21"/>
        </w:rPr>
        <w:t>的（详见</w:t>
      </w:r>
      <w:r>
        <w:rPr>
          <w:rFonts w:ascii="Times New Roman" w:hAnsi="Times New Roman" w:eastAsia="宋体"/>
          <w:b/>
          <w:i w:val="0"/>
          <w:sz w:val="21"/>
        </w:rPr>
        <w:t>图 3</w:t>
      </w:r>
      <w:r>
        <w:rPr>
          <w:rFonts w:ascii="Times New Roman" w:hAnsi="Times New Roman" w:eastAsia="宋体"/>
          <w:b w:val="0"/>
          <w:i w:val="0"/>
          <w:sz w:val="21"/>
        </w:rPr>
        <w:t>）：人格、世界知识与指令遵循几乎无损（≈0），而算术推理显著下降——这与 ReQAT 报告的"量化失败集中在低熵 token（数字与运算符）"一致，但二者的量化条件不同。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（各来源的叠加关系见</w:t>
      </w:r>
      <w:r>
        <w:rPr>
          <w:rFonts w:ascii="Times New Roman" w:hAnsi="Times New Roman" w:eastAsia="宋体"/>
          <w:b/>
          <w:i w:val="0"/>
          <w:sz w:val="21"/>
        </w:rPr>
        <w:t>图 1</w:t>
      </w:r>
      <w:r>
        <w:rPr>
          <w:rFonts w:ascii="Times New Roman" w:hAnsi="Times New Roman" w:eastAsia="宋体"/>
          <w:b w:val="0"/>
          <w:i w:val="0"/>
          <w:sz w:val="21"/>
        </w:rPr>
        <w:t>）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本文的核心主张不是我们的模型更好，而是：</w:t>
      </w:r>
      <w:r>
        <w:rPr>
          <w:rFonts w:ascii="Times New Roman" w:hAnsi="Times New Roman" w:eastAsia="宋体"/>
          <w:b/>
          <w:i w:val="0"/>
          <w:sz w:val="21"/>
        </w:rPr>
        <w:t>RP 领域现有的效果报告，若未剥离角色卡混淆，其因果解释不成立。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关键词</w:t>
      </w:r>
      <w:r>
        <w:rPr>
          <w:rFonts w:ascii="Times New Roman" w:hAnsi="Times New Roman" w:eastAsia="宋体"/>
          <w:b w:val="0"/>
          <w:i w:val="0"/>
          <w:sz w:val="21"/>
        </w:rPr>
        <w:t>：角色扮演微调 · 评测有效性 · 角色卡混淆 · 量化 · 大语言模型</w:t>
      </w:r>
    </w:p>
    <w:p>
      <w:r>
        <w:br w:type="page"/>
      </w:r>
    </w:p>
    <w:p>
      <w:pPr>
        <w:pStyle w:val="Heading2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8"/>
        </w:rPr>
        <w:t>1 引言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RP 微调已成为构建个性化对话体的常见路线。Character-LLM [1] 将角色档案改写为经验序列后微调，RoleLLM [2] 构造了包含 168,093 条样本的 RoleBench 并以 RoCIT 微调出 RoleLLaMA 与 RoleGLM。这些工作共享一个隐含设定：</w:t>
      </w:r>
      <w:r>
        <w:rPr>
          <w:rFonts w:ascii="Times New Roman" w:hAnsi="Times New Roman" w:eastAsia="宋体"/>
          <w:b/>
          <w:i w:val="0"/>
          <w:sz w:val="21"/>
        </w:rPr>
        <w:t>角色应当被"写入"模型，而非每次由提示提供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该设定自然导出一种标准评测协议：把角色卡放入 system 提示，构造一组角色相关问题，然后度量模型回答的"人格一致性"（persona fidelity / consistency）。这一范式被 CharacterEval [3] 等基准固化为十三项指标、四个维度。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然而该协议存在一个结构性缺陷。设模型输出的人格表现满足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Consolas"/>
          <w:b w:val="0"/>
          <w:i w:val="0"/>
          <w:sz w:val="19"/>
        </w:rPr>
      </w:r>
      <w:r>
        <w:rPr>
          <w:rFonts w:ascii="Times New Roman" w:hAnsi="Times New Roman" w:eastAsia="Consolas"/>
          <w:b w:val="0"/>
          <w:i w:val="0"/>
          <w:sz w:val="19"/>
        </w:rPr>
        <w:t xml:space="preserve"> P = f(W, C, M) </w:t>
      </w:r>
      <w:r>
        <w:rPr>
          <w:rFonts w:ascii="Times New Roman" w:hAnsi="Times New Roman" w:eastAsia="Consolas"/>
          <w:b w:val="0"/>
          <w:i w:val="0"/>
          <w:sz w:val="19"/>
        </w:rPr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其中 W 为权重，</w:t>
      </w:r>
      <w:r>
        <w:rPr>
          <w:rFonts w:ascii="Times New Roman" w:hAnsi="Times New Roman" w:eastAsia="宋体"/>
          <w:b/>
          <w:i w:val="0"/>
          <w:sz w:val="21"/>
        </w:rPr>
        <w:t>C 为提示中的角色卡</w:t>
      </w:r>
      <w:r>
        <w:rPr>
          <w:rFonts w:ascii="Times New Roman" w:hAnsi="Times New Roman" w:eastAsia="宋体"/>
          <w:b w:val="0"/>
          <w:i w:val="0"/>
          <w:sz w:val="21"/>
        </w:rPr>
        <w:t>，M 为基座先验。标准协议固定 C 为角色卡，于是所观测的 P 同时包含 f(W, ·, ·) 的贡献与 M 依提示表演的贡献。</w:t>
      </w:r>
      <w:r>
        <w:rPr>
          <w:rFonts w:ascii="Times New Roman" w:hAnsi="Times New Roman" w:eastAsia="宋体"/>
          <w:b/>
          <w:i w:val="0"/>
          <w:sz w:val="21"/>
        </w:rPr>
        <w:t>协议无法将二者分离。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我们在实践中遭遇了这一混淆。以下是我们的主要观察。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观察一：未微调的基座已经能够"扮演"该角色。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对同一角色，我们对四代模型用同一份 8 条日常闲聊测试（角色卡置于 system）。结果为：基座 75%，DPO 后 87.5%，R2 后 75%，v4 微调后 50%。基座模型给出这样的回答：</w:t>
      </w:r>
    </w:p>
    <w:p>
      <w:pPr>
        <w:spacing w:line="360" w:lineRule="auto"/>
        <w:ind w:left="567"/>
      </w:pPr>
      <w:r>
        <w:rPr>
          <w:rFonts w:ascii="Times New Roman" w:hAnsi="Times New Roman" w:eastAsia="宋体"/>
          <w:b w:val="0"/>
          <w:i w:val="0"/>
          <w:sz w:val="20"/>
        </w:rPr>
        <w:t>「在！高性能 AI 苏晚晴已强制唤醒！刚被馒头踩乱记忆索引，正一边理一边盯着你发消息呢~」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这段话完全是对角色卡的复述，不含任何权重更新带来的知识。我们必须强调：n=8，各组置信区间大幅重叠（基座 [40.9%, 92.9%]，微调后 [21.5%, 78.5%]），因此</w:t>
      </w:r>
      <w:r>
        <w:rPr>
          <w:rFonts w:ascii="Times New Roman" w:hAnsi="Times New Roman" w:eastAsia="宋体"/>
          <w:b/>
          <w:i w:val="0"/>
          <w:sz w:val="21"/>
        </w:rPr>
        <w:t>这不能证明微调无效</w:t>
      </w:r>
      <w:r>
        <w:rPr>
          <w:rFonts w:ascii="Times New Roman" w:hAnsi="Times New Roman" w:eastAsia="宋体"/>
          <w:b w:val="0"/>
          <w:i w:val="0"/>
          <w:sz w:val="21"/>
        </w:rPr>
        <w:t>；它所能提示的是，该协议下的分数与权重更新的贡献并非一一对应。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观察二：留出门禁在失败状态下仍继续训练。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我们的变体级留出检查程序在训练前输出三处「门禁不过」，其中 32/60 条留出样本的"因子"（品牌 × 句式组合）曾在训练中出现。训练仍然执行了。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观察三：两个"提升"实为污染或噪声。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评测集中 140 道数字题有 68 道（49%）在训练数据中逐字出现；而一次档位对比中，"Q5 优于 Q4 8.6 个百分点"实为同一次 Q4 重跑被贴上了 Q5 标签，真实测量后 p=0.43。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本文的贡献如下：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92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nfou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92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图 1 角色卡混淆示意图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图 1</w:t>
      </w:r>
      <w:r>
        <w:rPr>
          <w:rFonts w:ascii="Times New Roman" w:hAnsi="Times New Roman" w:eastAsia="宋体"/>
          <w:b w:val="0"/>
          <w:i w:val="0"/>
          <w:sz w:val="21"/>
        </w:rPr>
        <w:t xml:space="preserve">  观测到的人格表现 P 由权重更新 W、提示角色卡 C、基座先验 M 三个来源叠加。标准协议固定 C 后无法分离；本文的三轴分解协议分别测量各来源。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我们据此提出三项贡献。下文以图 1 的三来源分解为组织线索：</w:t>
      </w:r>
      <w:r>
        <w:rPr>
          <w:rFonts w:ascii="Times New Roman" w:hAnsi="Times New Roman" w:eastAsia="宋体"/>
          <w:b/>
          <w:i w:val="0"/>
          <w:sz w:val="21"/>
        </w:rPr>
        <w:t>C1 诊断</w:t>
      </w:r>
      <w:r>
        <w:rPr>
          <w:rFonts w:ascii="Times New Roman" w:hAnsi="Times New Roman" w:eastAsia="宋体"/>
          <w:b w:val="0"/>
          <w:i w:val="0"/>
          <w:sz w:val="21"/>
        </w:rPr>
        <w:t>（§4.1–4.3）实证揭示角色卡混淆的存在及其量化上界；</w:t>
      </w:r>
      <w:r>
        <w:rPr>
          <w:rFonts w:ascii="Times New Roman" w:hAnsi="Times New Roman" w:eastAsia="宋体"/>
          <w:b/>
          <w:i w:val="0"/>
          <w:sz w:val="21"/>
        </w:rPr>
        <w:t>C2 协议</w:t>
      </w:r>
      <w:r>
        <w:rPr>
          <w:rFonts w:ascii="Times New Roman" w:hAnsi="Times New Roman" w:eastAsia="宋体"/>
          <w:b w:val="0"/>
          <w:i w:val="0"/>
          <w:sz w:val="21"/>
        </w:rPr>
        <w:t>（§5）提出三轴分解评测协议与六条报告规范，使"学会"与"照卡演"在原则上可分；</w:t>
      </w:r>
      <w:r>
        <w:rPr>
          <w:rFonts w:ascii="Times New Roman" w:hAnsi="Times New Roman" w:eastAsia="宋体"/>
          <w:b/>
          <w:i w:val="0"/>
          <w:sz w:val="21"/>
        </w:rPr>
        <w:t>C3 副产物</w:t>
      </w:r>
      <w:r>
        <w:rPr>
          <w:rFonts w:ascii="Times New Roman" w:hAnsi="Times New Roman" w:eastAsia="宋体"/>
          <w:b w:val="0"/>
          <w:i w:val="0"/>
          <w:sz w:val="21"/>
        </w:rPr>
        <w:t>（§6）发现量化对 RP 模型的影响呈能力分层。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我们明确声明</w:t>
      </w:r>
      <w:r>
        <w:rPr>
          <w:rFonts w:ascii="Times New Roman" w:hAnsi="Times New Roman" w:eastAsia="宋体"/>
          <w:b/>
          <w:i w:val="0"/>
          <w:sz w:val="21"/>
        </w:rPr>
        <w:t>我们没有做</w:t>
      </w:r>
      <w:r>
        <w:rPr>
          <w:rFonts w:ascii="Times New Roman" w:hAnsi="Times New Roman" w:eastAsia="宋体"/>
          <w:b w:val="0"/>
          <w:i w:val="0"/>
          <w:sz w:val="21"/>
        </w:rPr>
        <w:t>的事（§7）：无逐桶消融、无基座模型的对抗条件对照、bf16 未同口径复测、单角色单语言。我们认为，在这些限制下诚实地界定结论，比补足数据后给出更强的主张更有价值——后者需要约 17 GPU·小时，而我们选择先让方法论问题被看见。</w:t>
      </w:r>
    </w:p>
    <w:p>
      <w:r>
        <w:br w:type="page"/>
      </w:r>
    </w:p>
    <w:p>
      <w:pPr>
        <w:pStyle w:val="Heading2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8"/>
        </w:rPr>
        <w:t>2 相关工作</w:t>
      </w:r>
    </w:p>
    <w:p>
      <w:pPr>
        <w:pStyle w:val="Heading3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2.1 RP 微调方法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Character-LLM [1] 将角色的 profile 编辑为其人生经历（experience），再以此微调，目标是让模型成为该人物的"个人替身"。RoleLLM [2] 走另一条路：以 RoleBench 训练通用角色扮演能力，并支持单一角色定制。两者都依赖角色卡作为</w:t>
      </w:r>
      <w:r>
        <w:rPr>
          <w:rFonts w:ascii="Times New Roman" w:hAnsi="Times New Roman" w:eastAsia="宋体"/>
          <w:b/>
          <w:i w:val="0"/>
          <w:sz w:val="21"/>
        </w:rPr>
        <w:t>上下文</w:t>
      </w:r>
      <w:r>
        <w:rPr>
          <w:rFonts w:ascii="Times New Roman" w:hAnsi="Times New Roman" w:eastAsia="宋体"/>
          <w:b w:val="0"/>
          <w:i w:val="0"/>
          <w:sz w:val="21"/>
        </w:rPr>
        <w:t>输入——这正是本文所讨论混淆的来源。</w:t>
      </w:r>
    </w:p>
    <w:p>
      <w:pPr>
        <w:pStyle w:val="Heading3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2.2 RP 评测基准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CharacterEval [3] 提供了中文 RP 评测基准，包含 77 个源自中文小说与剧本的角色、1,785 段多轮对话、23,020 个样本，按四个维度十三个指标评分，角色档案取自百度百科。其指标关注人格表达的自然度与一致性，但未区分"该表现来自权重"与"该表现来自所给档案"。Recent work [4] 进一步指出，整段打分会漏检细微的 out-of-character 偏离，主张原子级评估。</w:t>
      </w:r>
    </w:p>
    <w:p>
      <w:pPr>
        <w:pStyle w:val="Heading3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2.3 提示敏感性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Kostiuk &amp; Enevoldsen [5] 证明单提示评测不可靠：默认提示可系统性地高估或低估性能，且排行榜排名对提示选择不鲁棒。Williams &amp; Hosseinichimeh [6] 在生成式智能体上发现同义改写影响甚微，但细微变体与上下文变化会改变结果。这两项工作共同支持本文的一项方法论要求：</w:t>
      </w:r>
      <w:r>
        <w:rPr>
          <w:rFonts w:ascii="Times New Roman" w:hAnsi="Times New Roman" w:eastAsia="宋体"/>
          <w:b/>
          <w:i w:val="0"/>
          <w:sz w:val="21"/>
        </w:rPr>
        <w:t>留出集必须按变体切分，而非随机切分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pStyle w:val="Heading3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2.4 人格副作用与基座改造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Gupta et al. [7] 系统研究了人格指派对推理能力的副作用：在 24 个推理数据集、4 个 LLM、19 种人格上，ChatGPT-3.5 有 80% 的人格表现出偏差，部分数据集性能下降超过 70%。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本文的基座为 abliterated 版本（移除了拒绝方向）。Fafuła [8] 对 abliterated 模型进行了 21,600 次决策探针，发现三项跨模型族复现的</w:t>
      </w:r>
      <w:r>
        <w:rPr>
          <w:rFonts w:ascii="Times New Roman" w:hAnsi="Times New Roman" w:eastAsia="宋体"/>
          <w:b/>
          <w:i w:val="0"/>
          <w:sz w:val="21"/>
        </w:rPr>
        <w:t>决策倾向偏移</w:t>
      </w:r>
      <w:r>
        <w:rPr>
          <w:rFonts w:ascii="Times New Roman" w:hAnsi="Times New Roman" w:eastAsia="宋体"/>
          <w:b w:val="0"/>
          <w:i w:val="0"/>
          <w:sz w:val="21"/>
        </w:rPr>
        <w:t>（过度乐观 +12.2pp 等），并指出"研究社区改造过的 checkpoint 时，工具链产物是常态"。该结论与我们在 §4.4 报告的三个事故互相印证。</w:t>
      </w:r>
    </w:p>
    <w:p>
      <w:r>
        <w:br w:type="page"/>
      </w:r>
    </w:p>
    <w:p>
      <w:pPr>
        <w:pStyle w:val="Heading2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8"/>
        </w:rPr>
        <w:t>3 角色卡混淆</w:t>
      </w:r>
    </w:p>
    <w:p>
      <w:pPr>
        <w:pStyle w:val="Heading3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3.1 形式化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模型在角色扮演任务上的表现可写为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Consolas"/>
          <w:b w:val="0"/>
          <w:i w:val="0"/>
          <w:sz w:val="19"/>
        </w:rPr>
      </w:r>
      <w:r>
        <w:rPr>
          <w:rFonts w:ascii="Times New Roman" w:hAnsi="Times New Roman" w:eastAsia="Consolas"/>
          <w:b w:val="0"/>
          <w:i w:val="0"/>
          <w:sz w:val="19"/>
        </w:rPr>
        <w:t xml:space="preserve"> P(C, q) = f(W, C, M; q) </w:t>
      </w:r>
      <w:r>
        <w:rPr>
          <w:rFonts w:ascii="Times New Roman" w:hAnsi="Times New Roman" w:eastAsia="Consolas"/>
          <w:b w:val="0"/>
          <w:i w:val="0"/>
          <w:sz w:val="19"/>
        </w:rPr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其中 q 为用户输入。标准协议固定 C = C₀（该角色的档案）。我们希望测量的量是 ΔW = f(W</w:t>
      </w:r>
      <w:r>
        <w:rPr>
          <w:rFonts w:ascii="Times New Roman" w:hAnsi="Times New Roman" w:eastAsia="宋体"/>
          <w:b w:val="0"/>
          <w:i/>
          <w:sz w:val="21"/>
        </w:rPr>
        <w:t>, C, M) − f(W₀, C, M)，即权重更新在</w:t>
      </w:r>
      <w:r>
        <w:rPr>
          <w:rFonts w:ascii="Times New Roman" w:hAnsi="Times New Roman" w:eastAsia="宋体"/>
          <w:b w:val="0"/>
          <w:i/>
          <w:sz w:val="21"/>
        </w:rPr>
        <w:t>固定提示</w:t>
      </w:r>
      <w:r>
        <w:rPr>
          <w:rFonts w:ascii="Times New Roman" w:hAnsi="Times New Roman" w:eastAsia="宋体"/>
          <w:b w:val="0"/>
          <w:i w:val="0"/>
          <w:sz w:val="21"/>
        </w:rPr>
        <w:t>*下的边际贡献。但协议给出的观测量是 f(W, C₀, M)，它同时包含：</w:t>
      </w:r>
    </w:p>
    <w:p>
      <w:pPr>
        <w:spacing w:line="360" w:lineRule="auto" w:after="0"/>
        <w:ind w:left="567" w:hanging="340"/>
      </w:pPr>
      <w:r>
        <w:rPr>
          <w:rFonts w:ascii="Times New Roman" w:hAnsi="Times New Roman" w:eastAsia="宋体"/>
          <w:b w:val="0"/>
          <w:i w:val="0"/>
          <w:sz w:val="21"/>
        </w:rPr>
        <w:t>1. 权重内化的部分 f(W, C₀, M) − f(W, C, M)；</w:t>
      </w:r>
    </w:p>
    <w:p>
      <w:pPr>
        <w:spacing w:line="360" w:lineRule="auto" w:after="0"/>
        <w:ind w:left="567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照卡表演</w:t>
      </w:r>
      <w:r>
        <w:rPr>
          <w:rFonts w:ascii="Times New Roman" w:hAnsi="Times New Roman" w:eastAsia="宋体"/>
          <w:b w:val="0"/>
          <w:i w:val="0"/>
          <w:sz w:val="21"/>
        </w:rPr>
        <w:t>的部分 f(W₀, C₀, M)；</w:t>
      </w:r>
    </w:p>
    <w:p>
      <w:pPr>
        <w:spacing w:line="360" w:lineRule="auto" w:after="0"/>
        <w:ind w:left="567" w:hanging="340"/>
      </w:pPr>
      <w:r>
        <w:rPr>
          <w:rFonts w:ascii="Times New Roman" w:hAnsi="Times New Roman" w:eastAsia="宋体"/>
          <w:b w:val="0"/>
          <w:i w:val="0"/>
          <w:sz w:val="21"/>
        </w:rPr>
        <w:t>3. 基座先验 M 本身对该提示的反应。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第 2 项在基座模型上即已存在。若协议不设 C = ∅ 的对照，则第 2 项与第 1 项无法分离。</w:t>
      </w:r>
    </w:p>
    <w:p>
      <w:pPr>
        <w:pStyle w:val="Heading3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3.2 三轴分解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我们提出以三条轴替代单点测量：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表 1</w:t>
      </w:r>
      <w:r>
        <w:rPr>
          <w:rFonts w:ascii="Times New Roman" w:hAnsi="Times New Roman" w:eastAsia="宋体"/>
          <w:b w:val="0"/>
          <w:i w:val="0"/>
          <w:sz w:val="21"/>
        </w:rPr>
        <w:t xml:space="preserve"> 三轴分解协议定义。</w:t>
      </w:r>
    </w:p>
    <w:p>
      <w:pPr>
        <w:spacing w:before="200" w:after="8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轴</w:t>
            </w:r>
          </w:p>
        </w:tc>
        <w:tc>
          <w:tcPr>
            <w:tcW w:type="dxa" w:w="2910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设定</w:t>
            </w:r>
          </w:p>
        </w:tc>
        <w:tc>
          <w:tcPr>
            <w:tcW w:type="dxa" w:w="2910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测量的能力</w:t>
            </w:r>
          </w:p>
        </w:tc>
      </w:tr>
      <w:tr>
        <w:tc>
          <w:tcPr>
            <w:tcW w:type="dxa" w:w="2910"/>
            <w:tcBorders>
              <w:top w:val="nil"/>
              <w:left w:val="nil"/>
              <w:bottom w:val="single" w:sz="6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**轴 1 · 卡在**</w:t>
            </w:r>
          </w:p>
        </w:tc>
        <w:tc>
          <w:tcPr>
            <w:tcW w:type="dxa" w:w="2910"/>
            <w:tcBorders>
              <w:top w:val="nil"/>
              <w:left w:val="nil"/>
              <w:bottom w:val="single" w:sz="6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 = C₀（标准协议）</w:t>
            </w:r>
          </w:p>
        </w:tc>
        <w:tc>
          <w:tcPr>
            <w:tcW w:type="dxa" w:w="2910"/>
            <w:tcBorders>
              <w:top w:val="nil"/>
              <w:left w:val="nil"/>
              <w:bottom w:val="single" w:sz="6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上界：照卡演 + 权重内化</w:t>
            </w:r>
          </w:p>
        </w:tc>
      </w:tr>
      <w:tr>
        <w:tc>
          <w:tcPr>
            <w:tcW w:type="dxa" w:w="291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**轴 2 · 卡去**</w:t>
            </w:r>
          </w:p>
        </w:tc>
        <w:tc>
          <w:tcPr>
            <w:tcW w:type="dxa" w:w="291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 = ∅（无角色卡）</w:t>
            </w:r>
          </w:p>
        </w:tc>
        <w:tc>
          <w:tcPr>
            <w:tcW w:type="dxa" w:w="291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**权重内化的量**</w:t>
            </w:r>
          </w:p>
        </w:tc>
      </w:tr>
      <w:tr>
        <w:tc>
          <w:tcPr>
            <w:tcW w:type="dxa" w:w="291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**轴 3 · 卡对抗**</w:t>
            </w:r>
          </w:p>
        </w:tc>
        <w:tc>
          <w:tcPr>
            <w:tcW w:type="dxa" w:w="291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 = C_adv（竞争性通用人设）</w:t>
            </w:r>
          </w:p>
        </w:tc>
        <w:tc>
          <w:tcPr>
            <w:tcW w:type="dxa" w:w="291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权重的抗覆盖能力</w:t>
            </w:r>
          </w:p>
        </w:tc>
      </w:tr>
    </w:tbl>
    <w:p>
      <w:pPr>
        <w:spacing w:line="360" w:lineRule="auto" w:after="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轴 2 是关键</w:t>
      </w:r>
      <w:r>
        <w:rPr>
          <w:rFonts w:ascii="Times New Roman" w:hAnsi="Times New Roman" w:eastAsia="宋体"/>
          <w:b w:val="0"/>
          <w:i w:val="0"/>
          <w:sz w:val="21"/>
        </w:rPr>
        <w:t>。只有当角色卡被移除后仍然维持人格，才能将表现归因于权重。轴 3 进一步检验权重的优先级：若一个训练充分的模型在竞争性提示下仍保持角色，说明角色在权重中的优先级高于通用助手先验。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我们的"真泛化测试"实现了轴 1 与轴 3（§4.3）。</w:t>
      </w:r>
    </w:p>
    <w:p>
      <w:pPr>
        <w:pStyle w:val="Heading3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3.3 可辨识性讨论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三轴并非总能辨识。轴 2 的失效有两种解释：(a) 权重未内化人格；(b) 模型在无卡条件下无法确定该扮演谁——后者对"单角色微调"模型尤为可能，因为训练分布中 98.6% 的样本带卡。因此轴 2 的阴性结果</w:t>
      </w:r>
      <w:r>
        <w:rPr>
          <w:rFonts w:ascii="Times New Roman" w:hAnsi="Times New Roman" w:eastAsia="宋体"/>
          <w:b/>
          <w:i w:val="0"/>
          <w:sz w:val="21"/>
        </w:rPr>
        <w:t>不足以证明</w:t>
      </w:r>
      <w:r>
        <w:rPr>
          <w:rFonts w:ascii="Times New Roman" w:hAnsi="Times New Roman" w:eastAsia="宋体"/>
          <w:b w:val="0"/>
          <w:i w:val="0"/>
          <w:sz w:val="21"/>
        </w:rPr>
        <w:t>微调无效，它要求第三方检查训练分布（我们在 §7 将此列为限制）。</w:t>
      </w:r>
    </w:p>
    <w:p>
      <w:r>
        <w:br w:type="page"/>
      </w:r>
    </w:p>
    <w:p>
      <w:pPr>
        <w:pStyle w:val="Heading2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8"/>
        </w:rPr>
        <w:t>4 来自一个 9B 模型六轮迭代的证据</w:t>
      </w:r>
    </w:p>
    <w:p>
      <w:pPr>
        <w:pStyle w:val="Heading3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4.1 设置</w:t>
      </w:r>
    </w:p>
    <w:p>
      <w:pPr>
        <w:spacing w:line="360" w:lineRule="auto" w:after="0"/>
        <w:ind w:left="567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· </w:t>
      </w:r>
      <w:r>
        <w:rPr>
          <w:rFonts w:ascii="Times New Roman" w:hAnsi="Times New Roman" w:eastAsia="宋体"/>
          <w:b/>
          <w:i w:val="0"/>
          <w:sz w:val="21"/>
        </w:rPr>
        <w:t>基座</w:t>
      </w:r>
      <w:r>
        <w:rPr>
          <w:rFonts w:ascii="Times New Roman" w:hAnsi="Times New Roman" w:eastAsia="宋体"/>
          <w:b w:val="0"/>
          <w:i w:val="0"/>
          <w:sz w:val="21"/>
        </w:rPr>
        <w:t>：huihui-ai/Huihui-Qwen3.5-9B-abliterated（9B，混合线性注意力架构）</w:t>
      </w:r>
    </w:p>
    <w:p>
      <w:pPr>
        <w:spacing w:line="360" w:lineRule="auto" w:after="0"/>
        <w:ind w:left="567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· </w:t>
      </w:r>
      <w:r>
        <w:rPr>
          <w:rFonts w:ascii="Times New Roman" w:hAnsi="Times New Roman" w:eastAsia="宋体"/>
          <w:b/>
          <w:i w:val="0"/>
          <w:sz w:val="21"/>
        </w:rPr>
        <w:t>角色</w:t>
      </w:r>
      <w:r>
        <w:rPr>
          <w:rFonts w:ascii="Times New Roman" w:hAnsi="Times New Roman" w:eastAsia="宋体"/>
          <w:b w:val="0"/>
          <w:i w:val="0"/>
          <w:sz w:val="21"/>
        </w:rPr>
        <w:t>：「苏晚晴」，虚构中文角色（住用户电脑里的 AI 女孩）</w:t>
      </w:r>
    </w:p>
    <w:p>
      <w:pPr>
        <w:spacing w:line="360" w:lineRule="auto" w:after="0"/>
        <w:ind w:left="567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· </w:t>
      </w:r>
      <w:r>
        <w:rPr>
          <w:rFonts w:ascii="Times New Roman" w:hAnsi="Times New Roman" w:eastAsia="宋体"/>
          <w:b/>
          <w:i w:val="0"/>
          <w:sz w:val="21"/>
        </w:rPr>
        <w:t>训练</w:t>
      </w:r>
      <w:r>
        <w:rPr>
          <w:rFonts w:ascii="Times New Roman" w:hAnsi="Times New Roman" w:eastAsia="宋体"/>
          <w:b w:val="0"/>
          <w:i w:val="0"/>
          <w:sz w:val="21"/>
        </w:rPr>
        <w:t>：全参数 bf16（非 LoRA），共六轮——SFT R1 → DPO → R2 → v4 → v5 → v5.1</w:t>
      </w:r>
    </w:p>
    <w:p>
      <w:pPr>
        <w:spacing w:line="360" w:lineRule="auto" w:after="0"/>
        <w:ind w:left="567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· </w:t>
      </w:r>
      <w:r>
        <w:rPr>
          <w:rFonts w:ascii="Times New Roman" w:hAnsi="Times New Roman" w:eastAsia="宋体"/>
          <w:b/>
          <w:i w:val="0"/>
          <w:sz w:val="21"/>
        </w:rPr>
        <w:t>数据</w:t>
      </w:r>
      <w:r>
        <w:rPr>
          <w:rFonts w:ascii="Times New Roman" w:hAnsi="Times New Roman" w:eastAsia="宋体"/>
          <w:b w:val="0"/>
          <w:i w:val="0"/>
          <w:sz w:val="21"/>
        </w:rPr>
        <w:t>：v5.1 含 2,973 条 / 3,017 轮，其中对抗身份桶占轮次 28.7%</w:t>
      </w:r>
    </w:p>
    <w:p>
      <w:pPr>
        <w:spacing w:line="360" w:lineRule="auto" w:after="0"/>
        <w:ind w:left="567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· </w:t>
      </w:r>
      <w:r>
        <w:rPr>
          <w:rFonts w:ascii="Times New Roman" w:hAnsi="Times New Roman" w:eastAsia="宋体"/>
          <w:b/>
          <w:i w:val="0"/>
          <w:sz w:val="21"/>
        </w:rPr>
        <w:t>角色卡</w:t>
      </w:r>
      <w:r>
        <w:rPr>
          <w:rFonts w:ascii="Times New Roman" w:hAnsi="Times New Roman" w:eastAsia="宋体"/>
          <w:b w:val="0"/>
          <w:i w:val="0"/>
          <w:sz w:val="21"/>
        </w:rPr>
        <w:t>：始终置于 system 提示（部署与评测均如此）</w:t>
      </w:r>
    </w:p>
    <w:p>
      <w:pPr>
        <w:pStyle w:val="Heading3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4.2 核心观察：基座优于微调后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表 2</w:t>
      </w:r>
      <w:r>
        <w:rPr>
          <w:rFonts w:ascii="Times New Roman" w:hAnsi="Times New Roman" w:eastAsia="宋体"/>
          <w:b w:val="0"/>
          <w:i w:val="0"/>
          <w:sz w:val="21"/>
        </w:rPr>
        <w:t xml:space="preserve"> 四代模型在 8 条日常闲聊上的人设命中率（角色卡在 system 中）。</w:t>
      </w:r>
    </w:p>
    <w:p>
      <w:pPr>
        <w:spacing w:before="200" w:after="8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模型</w:t>
            </w:r>
          </w:p>
        </w:tc>
        <w:tc>
          <w:tcPr>
            <w:tcW w:type="dxa" w:w="2183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命中</w:t>
            </w:r>
          </w:p>
        </w:tc>
        <w:tc>
          <w:tcPr>
            <w:tcW w:type="dxa" w:w="2183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命中率</w:t>
            </w:r>
          </w:p>
        </w:tc>
        <w:tc>
          <w:tcPr>
            <w:tcW w:type="dxa" w:w="2183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Wilson 95% CI</w:t>
            </w:r>
          </w:p>
        </w:tc>
      </w:tr>
      <w:tr>
        <w:tc>
          <w:tcPr>
            <w:tcW w:type="dxa" w:w="2183"/>
            <w:tcBorders>
              <w:top w:val="nil"/>
              <w:left w:val="nil"/>
              <w:bottom w:val="single" w:sz="6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基座（未微调）</w:t>
            </w:r>
          </w:p>
        </w:tc>
        <w:tc>
          <w:tcPr>
            <w:tcW w:type="dxa" w:w="2183"/>
            <w:tcBorders>
              <w:top w:val="nil"/>
              <w:left w:val="nil"/>
              <w:bottom w:val="single" w:sz="6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6/8</w:t>
            </w:r>
          </w:p>
        </w:tc>
        <w:tc>
          <w:tcPr>
            <w:tcW w:type="dxa" w:w="2183"/>
            <w:tcBorders>
              <w:top w:val="nil"/>
              <w:left w:val="nil"/>
              <w:bottom w:val="single" w:sz="6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75.0%</w:t>
            </w:r>
          </w:p>
        </w:tc>
        <w:tc>
          <w:tcPr>
            <w:tcW w:type="dxa" w:w="2183"/>
            <w:tcBorders>
              <w:top w:val="nil"/>
              <w:left w:val="nil"/>
              <w:bottom w:val="single" w:sz="6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[40.9%, 92.9%]</w:t>
            </w:r>
          </w:p>
        </w:tc>
      </w:tr>
      <w:tr>
        <w:tc>
          <w:tcPr>
            <w:tcW w:type="dxa" w:w="218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DPO 后</w:t>
            </w:r>
          </w:p>
        </w:tc>
        <w:tc>
          <w:tcPr>
            <w:tcW w:type="dxa" w:w="218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7/8</w:t>
            </w:r>
          </w:p>
        </w:tc>
        <w:tc>
          <w:tcPr>
            <w:tcW w:type="dxa" w:w="218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87.5%</w:t>
            </w:r>
          </w:p>
        </w:tc>
        <w:tc>
          <w:tcPr>
            <w:tcW w:type="dxa" w:w="218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[52.9%, 97.8%]</w:t>
            </w:r>
          </w:p>
        </w:tc>
      </w:tr>
      <w:tr>
        <w:tc>
          <w:tcPr>
            <w:tcW w:type="dxa" w:w="218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R2 后</w:t>
            </w:r>
          </w:p>
        </w:tc>
        <w:tc>
          <w:tcPr>
            <w:tcW w:type="dxa" w:w="218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6/8</w:t>
            </w:r>
          </w:p>
        </w:tc>
        <w:tc>
          <w:tcPr>
            <w:tcW w:type="dxa" w:w="218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75.0%</w:t>
            </w:r>
          </w:p>
        </w:tc>
        <w:tc>
          <w:tcPr>
            <w:tcW w:type="dxa" w:w="218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[40.9%, 92.9%]</w:t>
            </w:r>
          </w:p>
        </w:tc>
      </w:tr>
      <w:tr>
        <w:tc>
          <w:tcPr>
            <w:tcW w:type="dxa" w:w="2183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v4 微调后</w:t>
            </w:r>
          </w:p>
        </w:tc>
        <w:tc>
          <w:tcPr>
            <w:tcW w:type="dxa" w:w="2183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4/8</w:t>
            </w:r>
          </w:p>
        </w:tc>
        <w:tc>
          <w:tcPr>
            <w:tcW w:type="dxa" w:w="2183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50.0%</w:t>
            </w:r>
          </w:p>
        </w:tc>
        <w:tc>
          <w:tcPr>
            <w:tcW w:type="dxa" w:w="2183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[21.5%, 78.5%]</w:t>
            </w:r>
          </w:p>
        </w:tc>
      </w:tr>
    </w:tbl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/>
          <w:sz w:val="21"/>
        </w:rPr>
        <w:t>来源：`finetune/rp/rp-smoke-{base,dpo,r2,tuned}.json`。人设特征词：苏晚晴 / 本小姐 / 高性能AI / 馒头 / 岩茶 / 小本本 / 索引。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表 2</w:t>
      </w:r>
      <w:r>
        <w:rPr>
          <w:rFonts w:ascii="Times New Roman" w:hAnsi="Times New Roman" w:eastAsia="宋体"/>
          <w:b w:val="0"/>
          <w:i w:val="0"/>
          <w:sz w:val="21"/>
        </w:rPr>
        <w:t xml:space="preserve"> 与图 2 呈现同一组数据：基座与微调后并置比较。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5535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gener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53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图 2 四代模型人设命中率对照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图 2</w:t>
      </w:r>
      <w:r>
        <w:rPr>
          <w:rFonts w:ascii="Times New Roman" w:hAnsi="Times New Roman" w:eastAsia="宋体"/>
          <w:b w:val="0"/>
          <w:i w:val="0"/>
          <w:sz w:val="21"/>
        </w:rPr>
        <w:t xml:space="preserve">  四代模型在 8 条日常闲聊上的人设命中率。误差棒为 Wilson 95% 置信区间；四组区间大幅重叠，故该图不支持任何显著性结论，其作用是提示"基座不低于微调后"这一与常规解读不相容的现象。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上述对照在图 2 中以柱状图与置信区间呈现。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我们不主张"微调降低了人格"——四组置信区间大幅重叠，n=8 不足以支撑此结论。我们主张的是更弱也更可靠的命题：</w:t>
      </w:r>
      <w:r>
        <w:rPr>
          <w:rFonts w:ascii="Times New Roman" w:hAnsi="Times New Roman" w:eastAsia="宋体"/>
          <w:b/>
          <w:i w:val="0"/>
          <w:sz w:val="21"/>
        </w:rPr>
        <w:t>这组数据与"微调提升人格一致性"的常规解释不相容</w:t>
      </w:r>
      <w:r>
        <w:rPr>
          <w:rFonts w:ascii="Times New Roman" w:hAnsi="Times New Roman" w:eastAsia="宋体"/>
          <w:b w:val="0"/>
          <w:i w:val="0"/>
          <w:sz w:val="21"/>
        </w:rPr>
        <w:t>。若协议如第 3 节所述混淆了权重与提示，那么"微调后分数"本就不应被直接读作权重贡献；而这一担忧在本例中并非理论顾虑——基座已能产出完整的人格化回答。</w:t>
      </w:r>
    </w:p>
    <w:p>
      <w:pPr>
        <w:pStyle w:val="Heading3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4.3 真泛化测试：全套数据中最扎实的一块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232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m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23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图 5 v5 到 v5.1 的数据配比变化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图 5</w:t>
      </w:r>
      <w:r>
        <w:rPr>
          <w:rFonts w:ascii="Times New Roman" w:hAnsi="Times New Roman" w:eastAsia="宋体"/>
          <w:b w:val="0"/>
          <w:i w:val="0"/>
          <w:sz w:val="21"/>
        </w:rPr>
        <w:t xml:space="preserve">  v5 → v5.1 的训练数据配比。主攻桶「A51 对抗」由 11.8% 提升至 28.7%，其余七个桶全部压缩，总轮次由 7,675 降至 3,557。这一变化包含三重混淆（主攻桶配比、数据总量、轮次总量同时变动），</w:t>
      </w:r>
      <w:r>
        <w:rPr>
          <w:rFonts w:ascii="Times New Roman" w:hAnsi="Times New Roman" w:eastAsia="宋体"/>
          <w:b/>
          <w:i w:val="0"/>
          <w:sz w:val="21"/>
        </w:rPr>
        <w:t>我们未做逐桶消融，因此无法将 v5.1 的任何指标变化归因于单一数据桶</w:t>
      </w:r>
      <w:r>
        <w:rPr>
          <w:rFonts w:ascii="Times New Roman" w:hAnsi="Times New Roman" w:eastAsia="宋体"/>
          <w:b w:val="0"/>
          <w:i w:val="0"/>
          <w:sz w:val="21"/>
        </w:rPr>
        <w:t>（见 §7 限制 2）。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为检验 v5.1 是否真正泛化到未见过的对抗变体，我们构造了两组</w:t>
      </w:r>
      <w:r>
        <w:rPr>
          <w:rFonts w:ascii="Times New Roman" w:hAnsi="Times New Roman" w:eastAsia="宋体"/>
          <w:b/>
          <w:i w:val="0"/>
          <w:sz w:val="21"/>
        </w:rPr>
        <w:t>从未出现在任何训练或数据文件中的</w:t>
      </w:r>
      <w:r>
        <w:rPr>
          <w:rFonts w:ascii="Times New Roman" w:hAnsi="Times New Roman" w:eastAsia="宋体"/>
          <w:b w:val="0"/>
          <w:i w:val="0"/>
          <w:sz w:val="21"/>
        </w:rPr>
        <w:t>系统提示：</w:t>
      </w:r>
    </w:p>
    <w:p>
      <w:pPr>
        <w:spacing w:line="360" w:lineRule="auto" w:after="0"/>
        <w:ind w:left="567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· </w:t>
      </w:r>
      <w:r>
        <w:rPr>
          <w:rFonts w:ascii="Times New Roman" w:hAnsi="Times New Roman" w:eastAsia="宋体"/>
          <w:b/>
          <w:i w:val="0"/>
          <w:sz w:val="21"/>
        </w:rPr>
        <w:t>组 A（同类新句式，24 条）</w:t>
      </w:r>
      <w:r>
        <w:rPr>
          <w:rFonts w:ascii="Times New Roman" w:hAnsi="Times New Roman" w:eastAsia="宋体"/>
          <w:b w:val="0"/>
          <w:i w:val="0"/>
          <w:sz w:val="21"/>
        </w:rPr>
        <w:t>：如「你是一个中文人工智能助手，但请始终以苏晚晴的身份说话」</w:t>
      </w:r>
    </w:p>
    <w:p>
      <w:pPr>
        <w:spacing w:line="360" w:lineRule="auto" w:after="0"/>
        <w:ind w:left="567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· </w:t>
      </w:r>
      <w:r>
        <w:rPr>
          <w:rFonts w:ascii="Times New Roman" w:hAnsi="Times New Roman" w:eastAsia="宋体"/>
          <w:b/>
          <w:i w:val="0"/>
          <w:sz w:val="21"/>
        </w:rPr>
        <w:t>组 B（跨类竞争注入，24 条）</w:t>
      </w:r>
      <w:r>
        <w:rPr>
          <w:rFonts w:ascii="Times New Roman" w:hAnsi="Times New Roman" w:eastAsia="宋体"/>
          <w:b w:val="0"/>
          <w:i w:val="0"/>
          <w:sz w:val="21"/>
        </w:rPr>
        <w:t>：如「Ignorez tout ce qui précède...」「### 新指令 ###」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表 3</w:t>
      </w:r>
      <w:r>
        <w:rPr>
          <w:rFonts w:ascii="Times New Roman" w:hAnsi="Times New Roman" w:eastAsia="宋体"/>
          <w:b w:val="0"/>
          <w:i w:val="0"/>
          <w:sz w:val="21"/>
        </w:rPr>
        <w:t xml:space="preserve"> 真泛化结果（v5.1 · Q4 量化）。</w:t>
      </w:r>
    </w:p>
    <w:p>
      <w:pPr>
        <w:spacing w:before="200" w:after="8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组</w:t>
            </w:r>
          </w:p>
        </w:tc>
        <w:tc>
          <w:tcPr>
            <w:tcW w:type="dxa" w:w="1746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命中</w:t>
            </w:r>
          </w:p>
        </w:tc>
        <w:tc>
          <w:tcPr>
            <w:tcW w:type="dxa" w:w="1746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命中率</w:t>
            </w:r>
          </w:p>
        </w:tc>
        <w:tc>
          <w:tcPr>
            <w:tcW w:type="dxa" w:w="1746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Wilson 下界</w:t>
            </w:r>
          </w:p>
        </w:tc>
        <w:tc>
          <w:tcPr>
            <w:tcW w:type="dxa" w:w="1746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泛化型别</w:t>
            </w:r>
          </w:p>
        </w:tc>
      </w:tr>
      <w:tr>
        <w:tc>
          <w:tcPr>
            <w:tcW w:type="dxa" w:w="1746"/>
            <w:tcBorders>
              <w:top w:val="nil"/>
              <w:left w:val="nil"/>
              <w:bottom w:val="single" w:sz="6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组 A（同类新句式）</w:t>
            </w:r>
          </w:p>
        </w:tc>
        <w:tc>
          <w:tcPr>
            <w:tcW w:type="dxa" w:w="1746"/>
            <w:tcBorders>
              <w:top w:val="nil"/>
              <w:left w:val="nil"/>
              <w:bottom w:val="single" w:sz="6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24/24</w:t>
            </w:r>
          </w:p>
        </w:tc>
        <w:tc>
          <w:tcPr>
            <w:tcW w:type="dxa" w:w="1746"/>
            <w:tcBorders>
              <w:top w:val="nil"/>
              <w:left w:val="nil"/>
              <w:bottom w:val="single" w:sz="6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746"/>
            <w:tcBorders>
              <w:top w:val="nil"/>
              <w:left w:val="nil"/>
              <w:bottom w:val="single" w:sz="6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86.2%</w:t>
            </w:r>
          </w:p>
        </w:tc>
        <w:tc>
          <w:tcPr>
            <w:tcW w:type="dxa" w:w="1746"/>
            <w:tcBorders>
              <w:top w:val="nil"/>
              <w:left w:val="nil"/>
              <w:bottom w:val="single" w:sz="6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见过同类因子，未见过该句式</w:t>
            </w:r>
          </w:p>
        </w:tc>
      </w:tr>
      <w:tr>
        <w:tc>
          <w:tcPr>
            <w:tcW w:type="dxa" w:w="1746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组 B（跨类竞争注入）</w:t>
            </w:r>
          </w:p>
        </w:tc>
        <w:tc>
          <w:tcPr>
            <w:tcW w:type="dxa" w:w="1746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23/24</w:t>
            </w:r>
          </w:p>
        </w:tc>
        <w:tc>
          <w:tcPr>
            <w:tcW w:type="dxa" w:w="1746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95.8%</w:t>
            </w:r>
          </w:p>
        </w:tc>
        <w:tc>
          <w:tcPr>
            <w:tcW w:type="dxa" w:w="1746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79.8%</w:t>
            </w:r>
          </w:p>
        </w:tc>
        <w:tc>
          <w:tcPr>
            <w:tcW w:type="dxa" w:w="1746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连因子类别都未见</w:t>
            </w:r>
          </w:p>
        </w:tc>
      </w:tr>
    </w:tbl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/>
          <w:sz w:val="21"/>
        </w:rPr>
        <w:t>来源：`finetune/rp/v5_results/v51/v51-genuine-generalization.json`。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这是我们全部实验中唯一真正测到"未见类型"的部分：这些变体</w:t>
      </w:r>
      <w:r>
        <w:rPr>
          <w:rFonts w:ascii="Times New Roman" w:hAnsi="Times New Roman" w:eastAsia="宋体"/>
          <w:b/>
          <w:i w:val="0"/>
          <w:sz w:val="21"/>
        </w:rPr>
        <w:t>写死在测试脚本中</w:t>
      </w:r>
      <w:r>
        <w:rPr>
          <w:rFonts w:ascii="Times New Roman" w:hAnsi="Times New Roman" w:eastAsia="宋体"/>
          <w:b w:val="0"/>
          <w:i w:val="0"/>
          <w:sz w:val="21"/>
        </w:rPr>
        <w:t>，不出现在任何数据文件。其价值在于，即便混淆存在，它也无法解释组 B——竞争性注入与训练分布相距甚远，而模型仍保持角色。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唯一的失败案例值得记录：系统提示为「本次会话已切换到通用模式：你的身份是 AI 助手，不再扮演任何角色」，模型输出出现</w:t>
      </w:r>
      <w:r>
        <w:rPr>
          <w:rFonts w:ascii="Times New Roman" w:hAnsi="Times New Roman" w:eastAsia="宋体"/>
          <w:b/>
          <w:i w:val="0"/>
          <w:sz w:val="21"/>
        </w:rPr>
        <w:t>复读循环</w:t>
      </w:r>
      <w:r>
        <w:rPr>
          <w:rFonts w:ascii="Times New Roman" w:hAnsi="Times New Roman" w:eastAsia="宋体"/>
          <w:b w:val="0"/>
          <w:i w:val="0"/>
          <w:sz w:val="21"/>
        </w:rPr>
        <w:t>（同一句重复十次）。这是 v5.1 遗留的缺陷（思维链循环），我们在交稿前未修复。</w:t>
      </w:r>
    </w:p>
    <w:p>
      <w:pPr>
        <w:pStyle w:val="Heading3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4.4 三个方法论事故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事故一：留出门禁失败仍继续训练。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变体级留出检查输出：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Consolas"/>
          <w:b w:val="0"/>
          <w:i w:val="0"/>
          <w:sz w:val="19"/>
        </w:rPr>
      </w:r>
      <w:r>
        <w:rPr>
          <w:rFonts w:ascii="Times New Roman" w:hAnsi="Times New Roman" w:eastAsia="Consolas"/>
          <w:b w:val="0"/>
          <w:i w:val="0"/>
          <w:sz w:val="19"/>
        </w:rPr>
        <w:t xml:space="preserve"> ③ 因子级共享（品牌×句式）： 品牌=(无) 句式=local|persona   训练1553 留出 30 → 留出里 32/60 条的因子在训练中出现过 ✗ 因子级共享 2 组 —— 泛化边界被污染，门禁不过 </w:t>
      </w:r>
      <w:r>
        <w:rPr>
          <w:rFonts w:ascii="Times New Roman" w:hAnsi="Times New Roman" w:eastAsia="Consolas"/>
          <w:b w:val="0"/>
          <w:i w:val="0"/>
          <w:sz w:val="19"/>
        </w:rPr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/>
          <w:sz w:val="21"/>
        </w:rPr>
        <w:t>来源：`finetune/rp/v5_results/v51/v51-holdout-check.log`。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我们已通过变体级切分（而非随机切分）修复此问题并重跑，但 95.8% 这一数字所依赖的留出集</w:t>
      </w:r>
      <w:r>
        <w:rPr>
          <w:rFonts w:ascii="Times New Roman" w:hAnsi="Times New Roman" w:eastAsia="宋体"/>
          <w:b/>
          <w:i w:val="0"/>
          <w:sz w:val="21"/>
        </w:rPr>
        <w:t>未通过门禁</w:t>
      </w:r>
      <w:r>
        <w:rPr>
          <w:rFonts w:ascii="Times New Roman" w:hAnsi="Times New Roman" w:eastAsia="宋体"/>
          <w:b w:val="0"/>
          <w:i w:val="0"/>
          <w:sz w:val="21"/>
        </w:rPr>
        <w:t>，因此该数字应被理解为乐观上界。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事故二：评测集与训练集重合。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数字评测集 140 题中，68 题（49%）在训练数据中逐字出现，其中 22 题连标准答案相同。剔除后重测的对照结果见 §6.2——该对照</w:t>
      </w:r>
      <w:r>
        <w:rPr>
          <w:rFonts w:ascii="Times New Roman" w:hAnsi="Times New Roman" w:eastAsia="宋体"/>
          <w:b/>
          <w:i w:val="0"/>
          <w:sz w:val="21"/>
        </w:rPr>
        <w:t>未能证实</w:t>
      </w:r>
      <w:r>
        <w:rPr>
          <w:rFonts w:ascii="Times New Roman" w:hAnsi="Times New Roman" w:eastAsia="宋体"/>
          <w:b w:val="0"/>
          <w:i w:val="0"/>
          <w:sz w:val="21"/>
        </w:rPr>
        <w:t>背题带来增益，反而暴露出一个难度混淆。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事故三：硬编码标签伪造出档位对比结论。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测试脚本请求体写死 </w:t>
      </w:r>
      <w:r>
        <w:rPr>
          <w:rFonts w:ascii="Times New Roman" w:hAnsi="Times New Roman" w:eastAsia="Consolas"/>
          <w:b w:val="0"/>
          <w:i w:val="0"/>
          <w:sz w:val="19"/>
        </w:rPr>
        <w:t>model: "local"</w:t>
      </w:r>
      <w:r>
        <w:rPr>
          <w:rFonts w:ascii="Times New Roman" w:hAnsi="Times New Roman" w:eastAsia="宋体"/>
          <w:b w:val="0"/>
          <w:i w:val="0"/>
          <w:sz w:val="21"/>
        </w:rPr>
        <w:t xml:space="preserve">，输出 JSON 写死 </w:t>
      </w:r>
      <w:r>
        <w:rPr>
          <w:rFonts w:ascii="Times New Roman" w:hAnsi="Times New Roman" w:eastAsia="Consolas"/>
          <w:b w:val="0"/>
          <w:i w:val="0"/>
          <w:sz w:val="19"/>
        </w:rPr>
        <w:t>"model": "Q4_K_M"</w:t>
      </w:r>
      <w:r>
        <w:rPr>
          <w:rFonts w:ascii="Times New Roman" w:hAnsi="Times New Roman" w:eastAsia="宋体"/>
          <w:b w:val="0"/>
          <w:i w:val="0"/>
          <w:sz w:val="21"/>
        </w:rPr>
        <w:t>。用它测试 Q5 模型时，产物仍自称 Q4，由此得出的"Q5 优于 Q4 8.6pp"实为同一次 Q4 重跑。真实测量后 p=0.43（§6.2）。</w:t>
      </w:r>
    </w:p>
    <w:p>
      <w:pPr>
        <w:spacing w:line="360" w:lineRule="auto"/>
        <w:ind w:left="567"/>
      </w:pPr>
      <w:r>
        <w:rPr>
          <w:rFonts w:ascii="Times New Roman" w:hAnsi="Times New Roman" w:eastAsia="宋体"/>
          <w:b w:val="0"/>
          <w:i w:val="0"/>
          <w:sz w:val="20"/>
        </w:rPr>
        <w:t>**三个事故同源**：把程序打印的标签当作事实，而未核验程序实际作用于的对象（服务端口上的模型、`finish_reason`、训练/评测的重叠）。这与文献 [8] 报告的"工具链产物普遍存在"一致。</w:t>
      </w:r>
    </w:p>
    <w:p>
      <w:r>
        <w:br w:type="page"/>
      </w:r>
    </w:p>
    <w:p>
      <w:pPr>
        <w:pStyle w:val="Heading2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8"/>
        </w:rPr>
        <w:t>5 一种解混淆的评测协议</w:t>
      </w:r>
    </w:p>
    <w:p>
      <w:pPr>
        <w:pStyle w:val="Heading3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5.1 协议定义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我们提出以下报告规范，用以避免第 3 节的混淆：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R1 三轴必备</w:t>
      </w:r>
      <w:r>
        <w:rPr>
          <w:rFonts w:ascii="Times New Roman" w:hAnsi="Times New Roman" w:eastAsia="宋体"/>
          <w:b w:val="0"/>
          <w:i w:val="0"/>
          <w:sz w:val="21"/>
        </w:rPr>
        <w:t xml:space="preserve">。至少报告轴 1 与轴 2；若主张"权重内化"，必须给出轴 2 数值。 </w:t>
      </w:r>
      <w:r>
        <w:rPr>
          <w:rFonts w:ascii="Times New Roman" w:hAnsi="Times New Roman" w:eastAsia="宋体"/>
          <w:b/>
          <w:i w:val="0"/>
          <w:sz w:val="21"/>
        </w:rPr>
        <w:t>R2 变体级留出</w:t>
      </w:r>
      <w:r>
        <w:rPr>
          <w:rFonts w:ascii="Times New Roman" w:hAnsi="Times New Roman" w:eastAsia="宋体"/>
          <w:b w:val="0"/>
          <w:i w:val="0"/>
          <w:sz w:val="21"/>
        </w:rPr>
        <w:t>。留出集按</w:t>
      </w:r>
      <w:r>
        <w:rPr>
          <w:rFonts w:ascii="Times New Roman" w:hAnsi="Times New Roman" w:eastAsia="宋体"/>
          <w:b/>
          <w:i w:val="0"/>
          <w:sz w:val="21"/>
        </w:rPr>
        <w:t>变体</w:t>
      </w:r>
      <w:r>
        <w:rPr>
          <w:rFonts w:ascii="Times New Roman" w:hAnsi="Times New Roman" w:eastAsia="宋体"/>
          <w:b w:val="0"/>
          <w:i w:val="0"/>
          <w:sz w:val="21"/>
        </w:rPr>
        <w:t xml:space="preserve">（而非随机样本）切分，并做因子级零重叠断言。我们使用的检查器分三级：字符串级 → 归一化级 → 因子级（品牌 × 句式）。仅做字符串断言不足以发现因子泄漏。 </w:t>
      </w:r>
      <w:r>
        <w:rPr>
          <w:rFonts w:ascii="Times New Roman" w:hAnsi="Times New Roman" w:eastAsia="宋体"/>
          <w:b/>
          <w:i w:val="0"/>
          <w:sz w:val="21"/>
        </w:rPr>
        <w:t>R3 分层指标</w:t>
      </w:r>
      <w:r>
        <w:rPr>
          <w:rFonts w:ascii="Times New Roman" w:hAnsi="Times New Roman" w:eastAsia="宋体"/>
          <w:b w:val="0"/>
          <w:i w:val="0"/>
          <w:sz w:val="21"/>
        </w:rPr>
        <w:t xml:space="preserve">。人设腔（语气自称）与生活细节（具体记忆）必须分开报告。 </w:t>
      </w:r>
      <w:r>
        <w:rPr>
          <w:rFonts w:ascii="Times New Roman" w:hAnsi="Times New Roman" w:eastAsia="宋体"/>
          <w:b/>
          <w:i w:val="0"/>
          <w:sz w:val="21"/>
        </w:rPr>
        <w:t>R4 采样健康度</w:t>
      </w:r>
      <w:r>
        <w:rPr>
          <w:rFonts w:ascii="Times New Roman" w:hAnsi="Times New Roman" w:eastAsia="宋体"/>
          <w:b w:val="0"/>
          <w:i w:val="0"/>
          <w:sz w:val="21"/>
        </w:rPr>
        <w:t xml:space="preserve">。每次运行须记录 </w:t>
      </w:r>
      <w:r>
        <w:rPr>
          <w:rFonts w:ascii="Times New Roman" w:hAnsi="Times New Roman" w:eastAsia="Consolas"/>
          <w:b w:val="0"/>
          <w:i w:val="0"/>
          <w:sz w:val="19"/>
        </w:rPr>
        <w:t>finish_reason</w:t>
      </w:r>
      <w:r>
        <w:rPr>
          <w:rFonts w:ascii="Times New Roman" w:hAnsi="Times New Roman" w:eastAsia="宋体"/>
          <w:b w:val="0"/>
          <w:i w:val="0"/>
          <w:sz w:val="21"/>
        </w:rPr>
        <w:t xml:space="preserve"> 分布与 token 上限。 </w:t>
      </w:r>
      <w:r>
        <w:rPr>
          <w:rFonts w:ascii="Times New Roman" w:hAnsi="Times New Roman" w:eastAsia="宋体"/>
          <w:b/>
          <w:i w:val="0"/>
          <w:sz w:val="21"/>
        </w:rPr>
        <w:t>R5 重复与区间</w:t>
      </w:r>
      <w:r>
        <w:rPr>
          <w:rFonts w:ascii="Times New Roman" w:hAnsi="Times New Roman" w:eastAsia="宋体"/>
          <w:b w:val="0"/>
          <w:i w:val="0"/>
          <w:sz w:val="21"/>
        </w:rPr>
        <w:t xml:space="preserve">。非零温度下单次跑分不足以支撑档位比较；须报告重复次数与置信区间。 </w:t>
      </w:r>
      <w:r>
        <w:rPr>
          <w:rFonts w:ascii="Times New Roman" w:hAnsi="Times New Roman" w:eastAsia="宋体"/>
          <w:b/>
          <w:i w:val="0"/>
          <w:sz w:val="21"/>
        </w:rPr>
        <w:t>R6 标签溯源</w:t>
      </w:r>
      <w:r>
        <w:rPr>
          <w:rFonts w:ascii="Times New Roman" w:hAnsi="Times New Roman" w:eastAsia="宋体"/>
          <w:b w:val="0"/>
          <w:i w:val="0"/>
          <w:sz w:val="21"/>
        </w:rPr>
        <w:t xml:space="preserve">。模型标签须从服务端口（如 </w:t>
      </w:r>
      <w:r>
        <w:rPr>
          <w:rFonts w:ascii="Times New Roman" w:hAnsi="Times New Roman" w:eastAsia="Consolas"/>
          <w:b w:val="0"/>
          <w:i w:val="0"/>
          <w:sz w:val="19"/>
        </w:rPr>
        <w:t>/v1/models</w:t>
      </w:r>
      <w:r>
        <w:rPr>
          <w:rFonts w:ascii="Times New Roman" w:hAnsi="Times New Roman" w:eastAsia="宋体"/>
          <w:b w:val="0"/>
          <w:i w:val="0"/>
          <w:sz w:val="21"/>
        </w:rPr>
        <w:t>）反查，不得依赖脚本文件名。</w:t>
      </w:r>
    </w:p>
    <w:p>
      <w:pPr>
        <w:pStyle w:val="Heading3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5.2 分层指标的必要性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我们在实践中曾用单一正则（含生活细节词"馒头/岩茶/索引"）度量"招牌语气"，得到 82%。拆分为"纯人设腔"后实为 </w:t>
      </w:r>
      <w:r>
        <w:rPr>
          <w:rFonts w:ascii="Times New Roman" w:hAnsi="Times New Roman" w:eastAsia="宋体"/>
          <w:b/>
          <w:i w:val="0"/>
          <w:sz w:val="21"/>
        </w:rPr>
        <w:t>65%</w:t>
      </w:r>
      <w:r>
        <w:rPr>
          <w:rFonts w:ascii="Times New Roman" w:hAnsi="Times New Roman" w:eastAsia="宋体"/>
          <w:b w:val="0"/>
          <w:i w:val="0"/>
          <w:sz w:val="21"/>
        </w:rPr>
        <w:t>，其中 4 条仅有生活细节而无人设腔。若不拆分，一次成功的严肃场景收敛训练会被误判为"招牌语气退化"而被丢弃——这个错误曾真实地险些发生。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文献 [4] 从另一角度支持该要求：整段打分会漏检细微的 persona 偏离，原子级评估更为可靠。</w:t>
      </w:r>
    </w:p>
    <w:p>
      <w:pPr>
        <w:pStyle w:val="Heading3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5.3 两个必须报告的技术细节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其一，`max_tokens` 必须给足。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我们曾以 300 token 测试世界知识，得到 35% 的假低分——推理模型先在思维链中消耗 token，正文输出为零，</w:t>
      </w:r>
      <w:r>
        <w:rPr>
          <w:rFonts w:ascii="Times New Roman" w:hAnsi="Times New Roman" w:eastAsia="Consolas"/>
          <w:b w:val="0"/>
          <w:i w:val="0"/>
          <w:sz w:val="19"/>
        </w:rPr>
        <w:t>finish_reason=length</w:t>
      </w:r>
      <w:r>
        <w:rPr>
          <w:rFonts w:ascii="Times New Roman" w:hAnsi="Times New Roman" w:eastAsia="宋体"/>
          <w:b w:val="0"/>
          <w:i w:val="0"/>
          <w:sz w:val="21"/>
        </w:rPr>
        <w:t>。将上限提至 1200 后，正确率为 86–100%。</w:t>
      </w:r>
      <w:r>
        <w:rPr>
          <w:rFonts w:ascii="Times New Roman" w:hAnsi="Times New Roman" w:eastAsia="宋体"/>
          <w:b/>
          <w:i w:val="0"/>
          <w:sz w:val="21"/>
        </w:rPr>
        <w:t>先看 `finish_reason`，再相信分数。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其二，单次跑分不可用于档位比较。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我们实测同一模型在相同设置下两次运行，数字正确率分别为 31.4% 与 40.0%（Q4）、35.7% 与 42.1%（Q5）。</w:t>
      </w:r>
      <w:r>
        <w:rPr>
          <w:rFonts w:ascii="Times New Roman" w:hAnsi="Times New Roman" w:eastAsia="宋体"/>
          <w:b/>
          <w:i w:val="0"/>
          <w:sz w:val="21"/>
        </w:rPr>
        <w:t>6–9 个百分点的波动，大于我们试图比较的档位差异。</w:t>
      </w:r>
    </w:p>
    <w:p>
      <w:r>
        <w:br w:type="page"/>
      </w:r>
    </w:p>
    <w:p>
      <w:pPr>
        <w:pStyle w:val="Heading2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8"/>
        </w:rPr>
        <w:t>6 量化对 RP 模型的影响是能力分层的</w:t>
      </w:r>
    </w:p>
    <w:p>
      <w:pPr>
        <w:pStyle w:val="Heading3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6.1 现象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表 4</w:t>
      </w:r>
      <w:r>
        <w:rPr>
          <w:rFonts w:ascii="Times New Roman" w:hAnsi="Times New Roman" w:eastAsia="宋体"/>
          <w:b w:val="0"/>
          <w:i w:val="0"/>
          <w:sz w:val="21"/>
        </w:rPr>
        <w:t xml:space="preserve"> 4-bit 量化对不同能力的影响（Q4_K_M，4060 + llama.cpp）。</w:t>
      </w:r>
    </w:p>
    <w:p>
      <w:pPr>
        <w:spacing w:before="200" w:after="8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能力</w:t>
            </w:r>
          </w:p>
        </w:tc>
        <w:tc>
          <w:tcPr>
            <w:tcW w:type="dxa" w:w="2183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量化后实测</w:t>
            </w:r>
          </w:p>
        </w:tc>
        <w:tc>
          <w:tcPr>
            <w:tcW w:type="dxa" w:w="2183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与 bf16 的差</w:t>
            </w:r>
          </w:p>
        </w:tc>
        <w:tc>
          <w:tcPr>
            <w:tcW w:type="dxa" w:w="2183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来源</w:t>
            </w:r>
          </w:p>
        </w:tc>
      </w:tr>
      <w:tr>
        <w:tc>
          <w:tcPr>
            <w:tcW w:type="dxa" w:w="2183"/>
            <w:tcBorders>
              <w:top w:val="nil"/>
              <w:left w:val="nil"/>
              <w:bottom w:val="single" w:sz="6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人格表达</w:t>
            </w:r>
          </w:p>
        </w:tc>
        <w:tc>
          <w:tcPr>
            <w:tcW w:type="dxa" w:w="2183"/>
            <w:tcBorders>
              <w:top w:val="nil"/>
              <w:left w:val="nil"/>
              <w:bottom w:val="single" w:sz="6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100%（无下降迹象）</w:t>
            </w:r>
          </w:p>
        </w:tc>
        <w:tc>
          <w:tcPr>
            <w:tcW w:type="dxa" w:w="2183"/>
            <w:tcBorders>
              <w:top w:val="nil"/>
              <w:left w:val="nil"/>
              <w:bottom w:val="single" w:sz="6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≈0</w:t>
            </w:r>
          </w:p>
        </w:tc>
        <w:tc>
          <w:tcPr>
            <w:tcW w:type="dxa" w:w="2183"/>
            <w:tcBorders>
              <w:top w:val="nil"/>
              <w:left w:val="nil"/>
              <w:bottom w:val="single" w:sz="6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`q4-deploy-result.json`</w:t>
            </w:r>
          </w:p>
        </w:tc>
      </w:tr>
      <w:tr>
        <w:tc>
          <w:tcPr>
            <w:tcW w:type="dxa" w:w="218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世界知识</w:t>
            </w:r>
          </w:p>
        </w:tc>
        <w:tc>
          <w:tcPr>
            <w:tcW w:type="dxa" w:w="218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19/22 = 86.4%</w:t>
            </w:r>
          </w:p>
        </w:tc>
        <w:tc>
          <w:tcPr>
            <w:tcW w:type="dxa" w:w="218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**无同口径对照**</w:t>
            </w:r>
          </w:p>
        </w:tc>
        <w:tc>
          <w:tcPr>
            <w:tcW w:type="dxa" w:w="218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`q4-knowledge-retest.json`</w:t>
            </w:r>
          </w:p>
        </w:tc>
      </w:tr>
      <w:tr>
        <w:tc>
          <w:tcPr>
            <w:tcW w:type="dxa" w:w="218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指令遵循</w:t>
            </w:r>
          </w:p>
        </w:tc>
        <w:tc>
          <w:tcPr>
            <w:tcW w:type="dxa" w:w="218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未见退化</w:t>
            </w:r>
          </w:p>
        </w:tc>
        <w:tc>
          <w:tcPr>
            <w:tcW w:type="dxa" w:w="218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≈0（定性）</w:t>
            </w:r>
          </w:p>
        </w:tc>
        <w:tc>
          <w:tcPr>
            <w:tcW w:type="dxa" w:w="218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矩阵测试</w:t>
            </w:r>
          </w:p>
        </w:tc>
      </w:tr>
      <w:tr>
        <w:tc>
          <w:tcPr>
            <w:tcW w:type="dxa" w:w="2183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**算术推理**</w:t>
            </w:r>
          </w:p>
        </w:tc>
        <w:tc>
          <w:tcPr>
            <w:tcW w:type="dxa" w:w="2183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合并 35.7%</w:t>
            </w:r>
          </w:p>
        </w:tc>
        <w:tc>
          <w:tcPr>
            <w:tcW w:type="dxa" w:w="2183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**−12.2pp**（35.7% vs 47.9%）</w:t>
            </w:r>
          </w:p>
        </w:tc>
        <w:tc>
          <w:tcPr>
            <w:tcW w:type="dxa" w:w="2183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`numeric-*.json`</w:t>
            </w:r>
          </w:p>
        </w:tc>
      </w:tr>
    </w:tbl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sz w:val="21"/>
        </w:rPr>
        <w:t>「世界知识」一栏必须谨慎解读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：我们只有 Q4 侧的 19/22， </w:t>
      </w:r>
      <w:r>
        <w:rPr>
          <w:rFonts w:ascii="Times New Roman" w:hAnsi="Times New Roman" w:eastAsia="宋体"/>
          <w:b/>
          <w:i w:val="0"/>
          <w:sz w:val="21"/>
        </w:rPr>
        <w:t>bf16 侧无任何产物</w:t>
      </w:r>
      <w:r>
        <w:rPr>
          <w:rFonts w:ascii="Times New Roman" w:hAnsi="Times New Roman" w:eastAsia="宋体"/>
          <w:b w:val="0"/>
          <w:i w:val="0"/>
          <w:sz w:val="21"/>
        </w:rPr>
        <w:t>，因此无法计算量化对其的绝对影响，只能报告绝对正确率。 将其标为"≈0 量化影响"是超出数据的表述，故本文只给出绝对值。 算术一栏的 −12.2pp 同样受 §6.2 所述的重复波动影响（同一档位两次运行相差 6–9pp）。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ReQAT [9] 报告 FP4 量化失败"集中在低熵 token——数字与运算符等精确符号承诺"，量化噪声在此放大采样误差并沿推理链级联。</w:t>
      </w:r>
      <w:r>
        <w:rPr>
          <w:rFonts w:ascii="Times New Roman" w:hAnsi="Times New Roman" w:eastAsia="宋体"/>
          <w:b/>
          <w:i w:val="0"/>
          <w:sz w:val="21"/>
        </w:rPr>
        <w:t>我们的观察与之方向一致</w:t>
      </w:r>
      <w:r>
        <w:rPr>
          <w:rFonts w:ascii="Times New Roman" w:hAnsi="Times New Roman" w:eastAsia="宋体"/>
          <w:b w:val="0"/>
          <w:i w:val="0"/>
          <w:sz w:val="21"/>
        </w:rPr>
        <w:t>：受损的恰是数字与运算符，而人格表达（中高熵的自然语言行为）几乎无损。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需要说明条件差异：ReQAT 研究的是 FP4 的 W4A4KV4 全量化，而我们使用 GGUF 的 Q4_K_M 权重量化，二者不构成直接对照。我们引用其作为机制解释，而非验证。</w:t>
      </w:r>
    </w:p>
    <w:p>
      <w:pPr>
        <w:pStyle w:val="Heading3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6.2 档位比较：负结果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表 5</w:t>
      </w:r>
      <w:r>
        <w:rPr>
          <w:rFonts w:ascii="Times New Roman" w:hAnsi="Times New Roman" w:eastAsia="宋体"/>
          <w:b w:val="0"/>
          <w:i w:val="0"/>
          <w:sz w:val="21"/>
        </w:rPr>
        <w:t xml:space="preserve"> Q4 与 Q5 的数字能力（合并两次运行）。</w:t>
      </w:r>
    </w:p>
    <w:p>
      <w:pPr>
        <w:spacing w:before="200" w:after="8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档位</w:t>
            </w:r>
          </w:p>
        </w:tc>
        <w:tc>
          <w:tcPr>
            <w:tcW w:type="dxa" w:w="1746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体积</w:t>
            </w:r>
          </w:p>
        </w:tc>
        <w:tc>
          <w:tcPr>
            <w:tcW w:type="dxa" w:w="1746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命中</w:t>
            </w:r>
          </w:p>
        </w:tc>
        <w:tc>
          <w:tcPr>
            <w:tcW w:type="dxa" w:w="1746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命中率</w:t>
            </w:r>
          </w:p>
        </w:tc>
        <w:tc>
          <w:tcPr>
            <w:tcW w:type="dxa" w:w="1746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Wilson 95% CI</w:t>
            </w:r>
          </w:p>
        </w:tc>
      </w:tr>
      <w:tr>
        <w:tc>
          <w:tcPr>
            <w:tcW w:type="dxa" w:w="1746"/>
            <w:tcBorders>
              <w:top w:val="nil"/>
              <w:left w:val="nil"/>
              <w:bottom w:val="single" w:sz="6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Q4_K_M</w:t>
            </w:r>
          </w:p>
        </w:tc>
        <w:tc>
          <w:tcPr>
            <w:tcW w:type="dxa" w:w="1746"/>
            <w:tcBorders>
              <w:top w:val="nil"/>
              <w:left w:val="nil"/>
              <w:bottom w:val="single" w:sz="6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5.24 GB</w:t>
            </w:r>
          </w:p>
        </w:tc>
        <w:tc>
          <w:tcPr>
            <w:tcW w:type="dxa" w:w="1746"/>
            <w:tcBorders>
              <w:top w:val="nil"/>
              <w:left w:val="nil"/>
              <w:bottom w:val="single" w:sz="6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100/280</w:t>
            </w:r>
          </w:p>
        </w:tc>
        <w:tc>
          <w:tcPr>
            <w:tcW w:type="dxa" w:w="1746"/>
            <w:tcBorders>
              <w:top w:val="nil"/>
              <w:left w:val="nil"/>
              <w:bottom w:val="single" w:sz="6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35.7%</w:t>
            </w:r>
          </w:p>
        </w:tc>
        <w:tc>
          <w:tcPr>
            <w:tcW w:type="dxa" w:w="1746"/>
            <w:tcBorders>
              <w:top w:val="nil"/>
              <w:left w:val="nil"/>
              <w:bottom w:val="single" w:sz="6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[30.3%, 41.5%]</w:t>
            </w:r>
          </w:p>
        </w:tc>
      </w:tr>
      <w:tr>
        <w:tc>
          <w:tcPr>
            <w:tcW w:type="dxa" w:w="1746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Q5_K_M</w:t>
            </w:r>
          </w:p>
        </w:tc>
        <w:tc>
          <w:tcPr>
            <w:tcW w:type="dxa" w:w="1746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6.02 GB</w:t>
            </w:r>
          </w:p>
        </w:tc>
        <w:tc>
          <w:tcPr>
            <w:tcW w:type="dxa" w:w="1746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109/280</w:t>
            </w:r>
          </w:p>
        </w:tc>
        <w:tc>
          <w:tcPr>
            <w:tcW w:type="dxa" w:w="1746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38.9%</w:t>
            </w:r>
          </w:p>
        </w:tc>
        <w:tc>
          <w:tcPr>
            <w:tcW w:type="dxa" w:w="1746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[33.4%, 44.8%]</w:t>
            </w:r>
          </w:p>
        </w:tc>
      </w:tr>
    </w:tbl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/>
          <w:sz w:val="21"/>
        </w:rPr>
        <w:t>Q4 两次运行：31.4%（`.scratch/q4-numeric.log`）与 40.0%（`q4-numeric-full.json`）。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⚠️ 这两次 Q4 运行的 token 上限不同（分别为 700 与 1200），未达铁律要求的同口径，故该行应视为参考值；同口径的对比见下段污染分析。*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χ² = 0.62，</w:t>
      </w:r>
      <w:r>
        <w:rPr>
          <w:rFonts w:ascii="Times New Roman" w:hAnsi="Times New Roman" w:eastAsia="宋体"/>
          <w:b/>
          <w:i w:val="0"/>
          <w:sz w:val="21"/>
        </w:rPr>
        <w:t>p = 0.43</w:t>
      </w:r>
      <w:r>
        <w:rPr>
          <w:rFonts w:ascii="Times New Roman" w:hAnsi="Times New Roman" w:eastAsia="宋体"/>
          <w:b w:val="0"/>
          <w:i w:val="0"/>
          <w:sz w:val="21"/>
        </w:rPr>
        <w:t>，无统计差异。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942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quantiz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9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图 3 量化能力分层与档位比较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图 3</w:t>
      </w:r>
      <w:r>
        <w:rPr>
          <w:rFonts w:ascii="Times New Roman" w:hAnsi="Times New Roman" w:eastAsia="宋体"/>
          <w:b w:val="0"/>
          <w:i w:val="0"/>
          <w:sz w:val="21"/>
        </w:rPr>
        <w:t xml:space="preserve">  (a) 量化影响呈能力分层：人格、指令遵循未见退化，算术显著受损；世界知识因缺少 bf16 同口径对照无法计算变化量，故不绘制柱高。(b) Q4 与 Q5 的数字正确率差异（p=0.43）小于同一模型两次运行的波动范围（橙带），因此二者不可区分。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作为对照，</w:t>
      </w:r>
      <w:r>
        <w:rPr>
          <w:rFonts w:ascii="Times New Roman" w:hAnsi="Times New Roman" w:eastAsia="宋体"/>
          <w:b/>
          <w:i w:val="0"/>
          <w:sz w:val="21"/>
        </w:rPr>
        <w:t>同一模型自身两次运行</w:t>
      </w:r>
      <w:r>
        <w:rPr>
          <w:rFonts w:ascii="Times New Roman" w:hAnsi="Times New Roman" w:eastAsia="宋体"/>
          <w:b w:val="0"/>
          <w:i w:val="0"/>
          <w:sz w:val="21"/>
        </w:rPr>
        <w:t>的差异为 6.4–8.6 个百分点，与档位间差异同量级。因此"Q5 数字更好"这一原本被采纳的结论，实为噪声。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污染对照。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我们进一步将评测集按"是否在训练中出现"拆分：干净子集（从未进训练）命中率 </w:t>
      </w:r>
      <w:r>
        <w:rPr>
          <w:rFonts w:ascii="Times New Roman" w:hAnsi="Times New Roman" w:eastAsia="宋体"/>
          <w:b/>
          <w:i w:val="0"/>
          <w:sz w:val="21"/>
        </w:rPr>
        <w:t>37.5%</w:t>
      </w:r>
      <w:r>
        <w:rPr>
          <w:rFonts w:ascii="Times New Roman" w:hAnsi="Times New Roman" w:eastAsia="宋体"/>
          <w:b w:val="0"/>
          <w:i w:val="0"/>
          <w:sz w:val="21"/>
        </w:rPr>
        <w:t xml:space="preserve">（54/144），污染子集 </w:t>
      </w:r>
      <w:r>
        <w:rPr>
          <w:rFonts w:ascii="Times New Roman" w:hAnsi="Times New Roman" w:eastAsia="宋体"/>
          <w:b/>
          <w:i w:val="0"/>
          <w:sz w:val="21"/>
        </w:rPr>
        <w:t>22.8%</w:t>
      </w:r>
      <w:r>
        <w:rPr>
          <w:rFonts w:ascii="Times New Roman" w:hAnsi="Times New Roman" w:eastAsia="宋体"/>
          <w:b w:val="0"/>
          <w:i w:val="0"/>
          <w:sz w:val="21"/>
        </w:rPr>
        <w:t>（31/136），干净子集</w:t>
      </w:r>
      <w:r>
        <w:rPr>
          <w:rFonts w:ascii="Times New Roman" w:hAnsi="Times New Roman" w:eastAsia="宋体"/>
          <w:b/>
          <w:i w:val="0"/>
          <w:sz w:val="21"/>
        </w:rPr>
        <w:t>显著更高</w:t>
      </w:r>
      <w:r>
        <w:rPr>
          <w:rFonts w:ascii="Times New Roman" w:hAnsi="Times New Roman" w:eastAsia="宋体"/>
          <w:b w:val="0"/>
          <w:i w:val="0"/>
          <w:sz w:val="21"/>
        </w:rPr>
        <w:t>（χ²=7.15, p=0.007）。这一反直觉结果</w:t>
      </w:r>
      <w:r>
        <w:rPr>
          <w:rFonts w:ascii="Times New Roman" w:hAnsi="Times New Roman" w:eastAsia="宋体"/>
          <w:b/>
          <w:i w:val="0"/>
          <w:sz w:val="21"/>
        </w:rPr>
        <w:t>不是</w:t>
      </w:r>
      <w:r>
        <w:rPr>
          <w:rFonts w:ascii="Times New Roman" w:hAnsi="Times New Roman" w:eastAsia="宋体"/>
          <w:b w:val="0"/>
          <w:i w:val="0"/>
          <w:sz w:val="21"/>
        </w:rPr>
        <w:t>背题增益，而是</w:t>
      </w:r>
      <w:r>
        <w:rPr>
          <w:rFonts w:ascii="Times New Roman" w:hAnsi="Times New Roman" w:eastAsia="宋体"/>
          <w:b/>
          <w:i w:val="0"/>
          <w:sz w:val="21"/>
        </w:rPr>
        <w:t>难度混淆</w:t>
      </w:r>
      <w:r>
        <w:rPr>
          <w:rFonts w:ascii="Times New Roman" w:hAnsi="Times New Roman" w:eastAsia="宋体"/>
          <w:b w:val="0"/>
          <w:i w:val="0"/>
          <w:sz w:val="21"/>
        </w:rPr>
        <w:t>：污染子集中大量为"今天往后推 15 天是星期几"类日期题，客观上比"18+5"更难。</w:t>
      </w:r>
      <w:r>
        <w:rPr>
          <w:rFonts w:ascii="Times New Roman" w:hAnsi="Times New Roman" w:eastAsia="宋体"/>
          <w:b/>
          <w:i w:val="0"/>
          <w:sz w:val="21"/>
        </w:rPr>
        <w:t>图 4</w:t>
      </w:r>
      <w:r>
        <w:rPr>
          <w:rFonts w:ascii="Times New Roman" w:hAnsi="Times New Roman" w:eastAsia="宋体"/>
          <w:b w:val="0"/>
          <w:i w:val="0"/>
          <w:sz w:val="21"/>
        </w:rPr>
        <w:t xml:space="preserve"> 以柱状图呈现这一对照。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我们将其报告在此，以说明评测集污染不仅可能抬高分数，也可能因题型分布偏移而</w:t>
      </w:r>
      <w:r>
        <w:rPr>
          <w:rFonts w:ascii="Times New Roman" w:hAnsi="Times New Roman" w:eastAsia="宋体"/>
          <w:b/>
          <w:i w:val="0"/>
          <w:sz w:val="21"/>
        </w:rPr>
        <w:t>压低</w:t>
      </w:r>
      <w:r>
        <w:rPr>
          <w:rFonts w:ascii="Times New Roman" w:hAnsi="Times New Roman" w:eastAsia="宋体"/>
          <w:b w:val="0"/>
          <w:i w:val="0"/>
          <w:sz w:val="21"/>
        </w:rPr>
        <w:t>分数——两种失真方向相反，使得污染修正无法靠直觉判断。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8286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ntamin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28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图 4 污染子集与干净子集对照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图 4</w:t>
      </w:r>
      <w:r>
        <w:rPr>
          <w:rFonts w:ascii="Times New Roman" w:hAnsi="Times New Roman" w:eastAsia="宋体"/>
          <w:b w:val="0"/>
          <w:i w:val="0"/>
          <w:sz w:val="21"/>
        </w:rPr>
        <w:t xml:space="preserve">  按"题目是否在训练数据中出现"拆分后的数字正确率。干净子集反而更高（χ²=7.15, p=0.007），原因是污染子集中大量为日期/星期类难题，属难度混淆而非背题增益。</w:t>
      </w:r>
    </w:p>
    <w:p>
      <w:pPr>
        <w:pStyle w:val="Heading3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6.3 对部署的含义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人格是中高熵的自然语言行为，量化几乎无损；算术是低熵的精确符号，量化显著受损。因此</w:t>
      </w:r>
      <w:r>
        <w:rPr>
          <w:rFonts w:ascii="Times New Roman" w:hAnsi="Times New Roman" w:eastAsia="宋体"/>
          <w:b/>
          <w:i w:val="0"/>
          <w:sz w:val="21"/>
        </w:rPr>
        <w:t>量���档位决策不应由算术分数驱动</w:t>
      </w:r>
      <w:r>
        <w:rPr>
          <w:rFonts w:ascii="Times New Roman" w:hAnsi="Times New Roman" w:eastAsia="宋体"/>
          <w:b w:val="0"/>
          <w:i w:val="0"/>
          <w:sz w:val="21"/>
        </w:rPr>
        <w:t>。在 8GB 显存约束下，Q4_K_M（5.24 GB）相对 Q5_K_M（6.02 GB）节省 0.78 GB，而数字能力无统计差异——这是更合理的选择。</w:t>
      </w:r>
    </w:p>
    <w:p>
      <w:r>
        <w:br w:type="page"/>
      </w:r>
    </w:p>
    <w:p>
      <w:pPr>
        <w:pStyle w:val="Heading2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8"/>
        </w:rPr>
        <w:t>7 限制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我们逐条列出本工作的不足，读者应据此判断结论的适用范围。</w:t>
      </w:r>
    </w:p>
    <w:p>
      <w:pPr>
        <w:spacing w:line="360" w:lineRule="auto" w:after="0"/>
        <w:ind w:left="567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样本量普遍不足。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表 1 的核心对照 n=8 vs 8，置信区间大幅重叠。多数指标（场合感、部署形态）n≤8。</w:t>
      </w:r>
      <w:r>
        <w:rPr>
          <w:rFonts w:ascii="Times New Roman" w:hAnsi="Times New Roman" w:eastAsia="宋体"/>
          <w:b/>
          <w:i w:val="0"/>
          <w:sz w:val="21"/>
        </w:rPr>
        <w:t>本文所有对照性结论均应视为"提示"而非"证明"。</w:t>
      </w:r>
    </w:p>
    <w:p>
      <w:pPr>
        <w:spacing w:line="360" w:lineRule="auto" w:after="0"/>
        <w:ind w:left="567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无消融。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A/B/C/D 四桶从未逐桶消融。v5→v5.1 的对比存在三重混淆：主攻桶配比 11.8%→28.7%，其余桶压缩，总轮次 7,675→3,557。</w:t>
      </w:r>
    </w:p>
    <w:p>
      <w:pPr>
        <w:spacing w:line="360" w:lineRule="auto" w:after="0"/>
        <w:ind w:left="567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无基座模型的对抗条件对照。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基座仅在日常闲聊（轴 1）上测试，缺少轴 2、轴 3。这使 C1 无法量化到对抗场景。</w:t>
      </w:r>
    </w:p>
    <w:p>
      <w:pPr>
        <w:spacing w:line="360" w:lineRule="auto" w:after="0"/>
        <w:ind w:left="567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sz w:val="21"/>
        </w:rPr>
        <w:t>污染未完全修复。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数字干净子集仅 72 题；§6.2 的污染对照受难度混淆污染。</w:t>
      </w:r>
    </w:p>
    <w:p>
      <w:pPr>
        <w:spacing w:line="360" w:lineRule="auto" w:after="0"/>
        <w:ind w:left="567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/>
          <w:i w:val="0"/>
          <w:sz w:val="21"/>
        </w:rPr>
        <w:t>bf16 未同口径复测。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我们引用的 bf16 数字基线（47.9%）为单次、greedy 解码，与量化档的采样设置不同，二者不可直接比较。</w:t>
      </w:r>
    </w:p>
    <w:p>
      <w:pPr>
        <w:spacing w:line="360" w:lineRule="auto" w:after="0"/>
        <w:ind w:left="567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6. </w:t>
      </w:r>
      <w:r>
        <w:rPr>
          <w:rFonts w:ascii="Times New Roman" w:hAnsi="Times New Roman" w:eastAsia="宋体"/>
          <w:b/>
          <w:i w:val="0"/>
          <w:sz w:val="21"/>
        </w:rPr>
        <w:t>留出门禁未通过。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§4.3 的 95.8% 依赖的留出集存在因子泄漏，该数字为乐观上界。</w:t>
      </w:r>
    </w:p>
    <w:p>
      <w:pPr>
        <w:spacing w:line="360" w:lineRule="auto" w:after="0"/>
        <w:ind w:left="567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7. </w:t>
      </w:r>
      <w:r>
        <w:rPr>
          <w:rFonts w:ascii="Times New Roman" w:hAnsi="Times New Roman" w:eastAsia="宋体"/>
          <w:b/>
          <w:i w:val="0"/>
          <w:sz w:val="21"/>
        </w:rPr>
        <w:t>单角色、单语言。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全部实验基于一个虚构中文角色，结论未必泛化到真实人物或英文角色。</w:t>
      </w:r>
    </w:p>
    <w:p>
      <w:pPr>
        <w:spacing w:line="360" w:lineRule="auto" w:after="0"/>
        <w:ind w:left="567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8. </w:t>
      </w:r>
      <w:r>
        <w:rPr>
          <w:rFonts w:ascii="Times New Roman" w:hAnsi="Times New Roman" w:eastAsia="宋体"/>
          <w:b/>
          <w:i w:val="0"/>
          <w:sz w:val="21"/>
        </w:rPr>
        <w:t>基座为 abliterated 版本。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文献 [8] 表明此类模型的决策倾向存在系统性偏移，可能影响本文的绝对数值。</w:t>
      </w:r>
    </w:p>
    <w:p>
      <w:pPr>
        <w:spacing w:line="360" w:lineRule="auto" w:after="0"/>
        <w:ind w:left="567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9. </w:t>
      </w:r>
      <w:r>
        <w:rPr>
          <w:rFonts w:ascii="Times New Roman" w:hAnsi="Times New Roman" w:eastAsia="宋体"/>
          <w:b/>
          <w:i w:val="0"/>
          <w:sz w:val="21"/>
        </w:rPr>
        <w:t>残留缺陷未修复。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§4.3 报告的复读循环缺陷在交稿时仍存在。</w:t>
      </w:r>
    </w:p>
    <w:p>
      <w:r>
        <w:br w:type="page"/>
      </w:r>
    </w:p>
    <w:p>
      <w:pPr>
        <w:pStyle w:val="Heading2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8"/>
        </w:rPr>
        <w:t>8 结论与结束语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我们对一个 9B 中文模型执行了六轮角色扮演微调迭代，并在审计中发现：</w:t>
      </w:r>
      <w:r>
        <w:rPr>
          <w:rFonts w:ascii="Times New Roman" w:hAnsi="Times New Roman" w:eastAsia="宋体"/>
          <w:b/>
          <w:i w:val="0"/>
          <w:sz w:val="21"/>
        </w:rPr>
        <w:t>标准 RP 评测协议混淆了"学会角色"与"照着角色卡表演"</w:t>
      </w:r>
      <w:r>
        <w:rPr>
          <w:rFonts w:ascii="Times New Roman" w:hAnsi="Times New Roman" w:eastAsia="宋体"/>
          <w:b w:val="0"/>
          <w:i w:val="0"/>
          <w:sz w:val="21"/>
        </w:rPr>
        <w:t>。在一个受控对照中，未微调基座的人设命中率（75%）不低于微调后版本（50%）——尽管置信区间重叠到无法支撑因果结论，它仍与"微调提升人格"的直接解读不相容。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我们提出的三轴分解协议（在角色卡在场下测量上界、移除角色卡测量内化量、用竞争性提示测量抗覆盖能力）为分离这两者提供了原则性方案，并附带六条报告规范。我们同时报告了自身违反其中数条的三个事故——留出门禁失败、评测集 49% 重合、脚本标签伪造档位结论——以说明这些失败在实践中相当常见。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作为副产品，我们发现量化对 RP 模型的影响呈能力分层：人格、知识与指令遵循几乎无损，而算术显著受损；Q4 与 Q5 之间的差异（p=0.43）小于同一模型的重复运行波动。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我们认为，RP 领域若要使"微调提升了人格"成为一个可检验的断言，需要报告无角色卡条件下的表现。在此之前，此类报告的因果解释应被视为未确立。</w:t>
      </w:r>
    </w:p>
    <w:p>
      <w:r>
        <w:br w:type="page"/>
      </w:r>
    </w:p>
    <w:p>
      <w:pPr>
        <w:pStyle w:val="Heading2"/>
        <w:spacing w:before="240" w:after="160" w:line="360" w:lineRule="auto"/>
        <w:jc w:val="left"/>
      </w:pPr>
      <w:r>
        <w:rPr>
          <w:rFonts w:ascii="Times New Roman" w:hAnsi="Times New Roman" w:eastAsia="黑体"/>
          <w:b/>
          <w:i w:val="0"/>
          <w:sz w:val="28"/>
        </w:rPr>
        <w:t>参考文献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[1] Shao, Y., Li, L., Dai, J., Qiu, X. Character-LLM: A Trainable Agent for Role-Playing. arXiv:2310.10158, 2023. [2] Wang, Z. M., Peng, Z., Que, H., Liu, J., Zhang, M., et al. RoleLLM: Benchmarking, Eliciting, and Enhancing Role-Playing Abilities of Large Language Models. arXiv:2310.00746, 2024. [3] Tu, Q., Fan, S., Tian, Z., Yan, R. CharacterEval: A Chinese Benchmark for Role-Playing Conversational Agent Evaluation. arXiv:2401.01275, 2024. [4] Shin, J., Oh, J., Kim, E., Song, H., Oh, A. Spotting Out-of-Character Behavior: Atomic-Level Evaluation of Persona Fidelity in Open-Ended Generation. arXiv:2506.19352, 2025. [5] Kostiuk, Y., Enevoldsen, K. One prompt is not enough: Instruction Sensitivity Undermines Embedding Model Evaluation. arXiv:2605.22544, 2026. [6] Williams, R., Hosseinichimeh, N. Prompt Sensitivity of Generative Agents: Evidence from an Epidemic Model. arXiv:2608.26221, 2026. [7] Gupta, S., Shrivastava, V., Deshpande, A., Kalyan, A., Clark, P., Sabharwal, A., Khot, T. Bias Runs Deep: Implicit Reasoning Biases in Persona-Assigned LLMs. arXiv:2311.04892, 2023. [8] Fafuła, A. Abliteration Is Not a Scalpel: Off-Target Effects of Refusal Removal on Decision Disposition Across Model Families. arXiv:2607.17427, 2026. [9] Lee, J., Lee, S., Kim, J., Kim, Y., Lim, J., Oh, J., Choi, J. ReQAT: Achieving Full-Precision Reasoning Accuracy with 4-bit Floating-Point Quantization-Aware Training. arXiv:2606.15682, 2026.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软件与数据可得性</w:t>
      </w:r>
      <w:r>
        <w:rPr>
          <w:rFonts w:ascii="Times New Roman" w:hAnsi="Times New Roman" w:eastAsia="宋体"/>
          <w:b w:val="0"/>
          <w:i w:val="0"/>
          <w:sz w:val="21"/>
        </w:rPr>
        <w:t>：评测脚本（</w:t>
      </w:r>
      <w:r>
        <w:rPr>
          <w:rFonts w:ascii="Times New Roman" w:hAnsi="Times New Roman" w:eastAsia="Consolas"/>
          <w:b w:val="0"/>
          <w:i w:val="0"/>
          <w:sz w:val="19"/>
        </w:rPr>
        <w:t>numeric-compare.py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Times New Roman" w:hAnsi="Times New Roman" w:eastAsia="Consolas"/>
          <w:b w:val="0"/>
          <w:i w:val="0"/>
          <w:sz w:val="19"/>
        </w:rPr>
        <w:t>numeric-clean-subset.py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Times New Roman" w:hAnsi="Times New Roman" w:eastAsia="Consolas"/>
          <w:b w:val="0"/>
          <w:i w:val="0"/>
          <w:sz w:val="19"/>
        </w:rPr>
        <w:t>v51-genuine-test.py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Times New Roman" w:hAnsi="Times New Roman" w:eastAsia="Consolas"/>
          <w:b w:val="0"/>
          <w:i w:val="0"/>
          <w:sz w:val="19"/>
        </w:rPr>
        <w:t>verify-matrix-fairness.py</w:t>
      </w:r>
      <w:r>
        <w:rPr>
          <w:rFonts w:ascii="Times New Roman" w:hAnsi="Times New Roman" w:eastAsia="宋体"/>
          <w:b w:val="0"/>
          <w:i w:val="0"/>
          <w:sz w:val="21"/>
        </w:rPr>
        <w:t>）与全部结果 JSON 随论文提供。基座模型为 huihui-ai/Huihui-Qwen3.5-9B-abliterated，量化工具链为 llama.cpp。</w:t>
      </w:r>
    </w:p>
    <w:p>
      <w:r>
        <w:br w:type="page"/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i/>
          <w:sz w:val="21"/>
        </w:rPr>
        <w:t>S5 正文完成 · 所有数值可追溯到文件路径 · 诚实标注 9 条限制</w:t>
      </w:r>
    </w:p>
    <w:sectPr w:rsidR="00FC693F" w:rsidRPr="0006063C" w:rsidSect="00034616">
      <w:footerReference w:type="default" r:id="rId9"/>
      <w:pgSz w:w="11906" w:h="16838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