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Paper Draft B - Edge/IoT Journal Track</w:t>
      </w:r>
    </w:p>
    <w:p>
      <w:r>
        <w:t xml:space="preserve"/>
      </w:r>
    </w:p>
    <w:p>
      <w:pPr>
        <w:pStyle w:val="Heading2"/>
      </w:pPr>
      <w:r>
        <w:t xml:space="preserve">Working Title</w:t>
      </w:r>
    </w:p>
    <w:p>
      <w:r>
        <w:t xml:space="preserve"/>
      </w:r>
    </w:p>
    <w:p>
      <w:r>
        <w:t xml:space="preserve">Reliable Skill Micro-Kernels for Low-Bandwidth Edge IoT Language Interfaces</w:t>
      </w:r>
    </w:p>
    <w:p>
      <w:r>
        <w:t xml:space="preserve"/>
      </w:r>
    </w:p>
    <w:p>
      <w:pPr>
        <w:pStyle w:val="Heading2"/>
      </w:pPr>
      <w:r>
        <w:t xml:space="preserve">Target Venues</w:t>
      </w:r>
    </w:p>
    <w:p>
      <w:r>
        <w:t xml:space="preserve"/>
      </w:r>
    </w:p>
    <w:p>
      <w:r>
        <w:t xml:space="preserve">IEEE Internet of Things Journal, Elsevier Internet of Things, ACM TECS.</w:t>
      </w:r>
    </w:p>
    <w:p>
      <w:r>
        <w:t xml:space="preserve"/>
      </w:r>
    </w:p>
    <w:p>
      <w:pPr>
        <w:pStyle w:val="Heading2"/>
      </w:pPr>
      <w:r>
        <w:t xml:space="preserve">Abstract</w:t>
      </w:r>
    </w:p>
    <w:p>
      <w:r>
        <w:t xml:space="preserve"/>
      </w:r>
    </w:p>
    <w:p>
      <w:r>
        <w:t xml:space="preserve">Edge IoT systems increasingly need natural-language interfaces, but full language-model inference is expensive and brittle for low-entropy device operations. We propose a skill micro-kernel architecture for AIoT nodes in which a compact language model performs semantic interpretation while deterministic micro-kernels execute bounded transformations such as command normalization, sensor-event triage, safety gating, packet encoding, and unit/time normalization. The approach reduces reliance on dense model execution and produces compact structured outputs suitable for low-bandwidth links.</w:t>
      </w:r>
    </w:p>
    <w:p>
      <w:r>
        <w:t xml:space="preserve"/>
      </w:r>
    </w:p>
    <w:p>
      <w:r>
        <w:t xml:space="preserve">Using a 360M-parameter instruction model fine-tuned with LoRA over eight edge skills, we observe 96.60% exact match on 1440 controlled examples. A hybrid runtime that routes unit/time normalization through a deterministic micro-kernel improves exact match to 99.93%. We frame this result as an early step toward low-bandwidth edge LLM inference and identify the additional device, networking, and energy experiments required for a complete IoT journal submission.</w:t>
      </w:r>
    </w:p>
    <w:p>
      <w:r>
        <w:t xml:space="preserve"/>
      </w:r>
    </w:p>
    <w:p>
      <w:pPr>
        <w:pStyle w:val="Heading2"/>
      </w:pPr>
      <w:r>
        <w:t xml:space="preserve">1. Motivation</w:t>
      </w:r>
    </w:p>
    <w:p>
      <w:r>
        <w:t xml:space="preserve"/>
      </w:r>
    </w:p>
    <w:p>
      <w:r>
        <w:t xml:space="preserve">IoT nodes often operate under tight constraints: low memory, low power, intermittent links, small packets, and safety-sensitive physical actuation. A language model running at the edge must be predictable enough to control devices, yet flexible enough to interpret varied user commands and sensor descriptions.</w:t>
      </w:r>
    </w:p>
    <w:p>
      <w:r>
        <w:t xml:space="preserve"/>
      </w:r>
    </w:p>
    <w:p>
      <w:r>
        <w:t xml:space="preserve">In this context, not every operation should be generated by the model. If a task has a formal schema, finite label set, or deterministic transformation, it should be implemented as a micro-kernel and exposed to the model as a skill.</w:t>
      </w:r>
    </w:p>
    <w:p>
      <w:r>
        <w:t xml:space="preserve"/>
      </w:r>
    </w:p>
    <w:p>
      <w:pPr>
        <w:pStyle w:val="Heading2"/>
      </w:pPr>
      <w:r>
        <w:t xml:space="preserve">2. Architecture</w:t>
      </w:r>
    </w:p>
    <w:p>
      <w:r>
        <w:t xml:space="preserve"/>
      </w:r>
    </w:p>
    <w:p>
      <w:r>
        <w:t xml:space="preserve">The proposed AIoT stack contains:</w:t>
      </w:r>
    </w:p>
    <w:p>
      <w:r>
        <w:t xml:space="preserve"/>
      </w:r>
    </w:p>
    <w:p>
      <w:r>
        <w:t xml:space="preserve">1. Natural-language skill router.</w:t>
      </w:r>
    </w:p>
    <w:p>
      <w:r>
        <w:t xml:space="preserve">2. Skill contract registry.</w:t>
      </w:r>
    </w:p>
    <w:p>
      <w:r>
        <w:t xml:space="preserve">3. Deterministic micro-kernel registry.</w:t>
      </w:r>
    </w:p>
    <w:p>
      <w:r>
        <w:t xml:space="preserve">4. Model fallback path.</w:t>
      </w:r>
    </w:p>
    <w:p>
      <w:r>
        <w:t xml:space="preserve">5. Compact packet encoder.</w:t>
      </w:r>
    </w:p>
    <w:p>
      <w:r>
        <w:t xml:space="preserve">6. Safety gate before actuation.</w:t>
      </w:r>
    </w:p>
    <w:p>
      <w:r>
        <w:t xml:space="preserve"/>
      </w:r>
    </w:p>
    <w:p>
      <w:r>
        <w:t xml:space="preserve">For low-bandwidth communication, a node can transmit:</w:t>
      </w:r>
    </w:p>
    <w:p>
      <w:r>
        <w:t xml:space="preserve"/>
      </w:r>
    </w:p>
    <w:p>
      <w:pPr>
        <w:pStyle w:val="Code"/>
      </w:pPr>
      <w:r>
        <w:t xml:space="preserve">{"skill_id":5,"args":["node-3","warning"],"precision":"fp16","auth":"chacha20-poly1305"}</w:t>
      </w:r>
    </w:p>
    <w:p>
      <w:r>
        <w:t xml:space="preserve"/>
      </w:r>
    </w:p>
    <w:p>
      <w:r>
        <w:t xml:space="preserve">Rather than transmitting hidden states or large intermediate tensors, the system transmits skill identifiers, arguments, confidence/status fields, and optional authentication tags.</w:t>
      </w:r>
    </w:p>
    <w:p>
      <w:r>
        <w:t xml:space="preserve"/>
      </w:r>
    </w:p>
    <w:p>
      <w:pPr>
        <w:pStyle w:val="Heading2"/>
      </w:pPr>
      <w:r>
        <w:t xml:space="preserve">3. Prototype</w:t>
      </w:r>
    </w:p>
    <w:p>
      <w:r>
        <w:t xml:space="preserve"/>
      </w:r>
    </w:p>
    <w:p>
      <w:r>
        <w:t xml:space="preserve">The current prototype trains eight skills over `HuggingFaceTB/SmolLM2-360M-Instruct`. The skills cover routing, JSON repair, extraction, command normalization, sensor triage, packet encoding, safety gating, and unit/time normalization.</w:t>
      </w:r>
    </w:p>
    <w:p>
      <w:r>
        <w:t xml:space="preserve"/>
      </w:r>
    </w:p>
    <w:p>
      <w:r>
        <w:t xml:space="preserve">Model artifacts:</w:t>
      </w:r>
    </w:p>
    <w:p>
      <w:r>
        <w:t xml:space="preserve"/>
      </w:r>
    </w:p>
    <w:p>
      <w:r>
        <w:t xml:space="preserve">| Artifact | Path |</w:t>
      </w:r>
    </w:p>
    <w:p>
      <w:r>
        <w:t xml:space="preserve">| --- | --- |</w:t>
      </w:r>
    </w:p>
    <w:p>
      <w:r>
        <w:t xml:space="preserve">| LoRA adapter | `models/eigenskill-smollm2-360m-lora-v2-fp16` |</w:t>
      </w:r>
    </w:p>
    <w:p>
      <w:r>
        <w:t xml:space="preserve">| Merged FP16 | `models/eigenskill-smollm2-360m-merged-v2-fp16` |</w:t>
      </w:r>
    </w:p>
    <w:p>
      <w:r>
        <w:t xml:space="preserve">| Dynamic INT8 CPU | `models/eigenskill-smollm2-360m-int8-v2-dynamic` |</w:t>
      </w:r>
    </w:p>
    <w:p>
      <w:r>
        <w:t xml:space="preserve"/>
      </w:r>
    </w:p>
    <w:p>
      <w:pPr>
        <w:pStyle w:val="Heading2"/>
      </w:pPr>
      <w:r>
        <w:t xml:space="preserve">4. Evaluation</w:t>
      </w:r>
    </w:p>
    <w:p>
      <w:r>
        <w:t xml:space="preserve"/>
      </w:r>
    </w:p>
    <w:p>
      <w:r>
        <w:t xml:space="preserve">| Skill group | Current status |</w:t>
      </w:r>
    </w:p>
    <w:p>
      <w:r>
        <w:t xml:space="preserve">| --- | --- |</w:t>
      </w:r>
    </w:p>
    <w:p>
      <w:r>
        <w:t xml:space="preserve">| JSON/structured skills | Mostly exact under controlled eval |</w:t>
      </w:r>
    </w:p>
    <w:p>
      <w:r>
        <w:t xml:space="preserve">| Label skills | Stable except one intent-routing failure |</w:t>
      </w:r>
    </w:p>
    <w:p>
      <w:r>
        <w:t xml:space="preserve">| Unit/time normalization | Requires deterministic bypass |</w:t>
      </w:r>
    </w:p>
    <w:p>
      <w:r>
        <w:t xml:space="preserve">| Packet encoding | Suitable for low-bandwidth IoT framing |</w:t>
      </w:r>
    </w:p>
    <w:p>
      <w:r>
        <w:t xml:space="preserve"/>
      </w:r>
    </w:p>
    <w:p>
      <w:r>
        <w:t xml:space="preserve">The main quantitative result is:</w:t>
      </w:r>
    </w:p>
    <w:p>
      <w:r>
        <w:t xml:space="preserve"/>
      </w:r>
    </w:p>
    <w:p>
      <w:r>
        <w:t xml:space="preserve">| Runtime | Exact match |</w:t>
      </w:r>
    </w:p>
    <w:p>
      <w:r>
        <w:t xml:space="preserve">| --- | ---: |</w:t>
      </w:r>
    </w:p>
    <w:p>
      <w:r>
        <w:t xml:space="preserve">| Pure model | 96.60% |</w:t>
      </w:r>
    </w:p>
    <w:p>
      <w:r>
        <w:t xml:space="preserve">| Hybrid runtime | 99.93% |</w:t>
      </w:r>
    </w:p>
    <w:p>
      <w:r>
        <w:t xml:space="preserve"/>
      </w:r>
    </w:p>
    <w:p>
      <w:pPr>
        <w:pStyle w:val="Heading2"/>
      </w:pPr>
      <w:r>
        <w:t xml:space="preserve">5. Relevance to IoT</w:t>
      </w:r>
    </w:p>
    <w:p>
      <w:r>
        <w:t xml:space="preserve"/>
      </w:r>
    </w:p>
    <w:p>
      <w:r>
        <w:t xml:space="preserve">The core IoT relevance is not just model compression. It is the separation of concerns:</w:t>
      </w:r>
    </w:p>
    <w:p>
      <w:r>
        <w:t xml:space="preserve"/>
      </w:r>
    </w:p>
    <w:p>
      <w:r>
        <w:t xml:space="preserve">• LLM: understands natural language and ambiguous intent.</w:t>
      </w:r>
    </w:p>
    <w:p>
      <w:r>
        <w:t xml:space="preserve">• Micro-kernel: executes precise bounded transformations.</w:t>
      </w:r>
    </w:p>
    <w:p>
      <w:r>
        <w:t xml:space="preserve">• Packet layer: minimizes communication load.</w:t>
      </w:r>
    </w:p>
    <w:p>
      <w:r>
        <w:t xml:space="preserve">• Safety gate: blocks or asks for clarification before physical actuation.</w:t>
      </w:r>
    </w:p>
    <w:p>
      <w:r>
        <w:t xml:space="preserve"/>
      </w:r>
    </w:p>
    <w:p>
      <w:r>
        <w:t xml:space="preserve">This is a better fit for edge devices than treating every command as free-form generation.</w:t>
      </w:r>
    </w:p>
    <w:p>
      <w:r>
        <w:t xml:space="preserve"/>
      </w:r>
    </w:p>
    <w:p>
      <w:pPr>
        <w:pStyle w:val="Heading2"/>
      </w:pPr>
      <w:r>
        <w:t xml:space="preserve">6. Missing Experiments for Journal Submission</w:t>
      </w:r>
    </w:p>
    <w:p>
      <w:r>
        <w:t xml:space="preserve"/>
      </w:r>
    </w:p>
    <w:p>
      <w:r>
        <w:t xml:space="preserve">To submit this version credibly, we need:</w:t>
      </w:r>
    </w:p>
    <w:p>
      <w:r>
        <w:t xml:space="preserve"/>
      </w:r>
    </w:p>
    <w:p>
      <w:r>
        <w:t xml:space="preserve">• Device tests on ARM/RK3588/Jetson or similar.</w:t>
      </w:r>
    </w:p>
    <w:p>
      <w:r>
        <w:t xml:space="preserve">• Packet-size comparison with text prompts and JSON tool calls.</w:t>
      </w:r>
    </w:p>
    <w:p>
      <w:r>
        <w:t xml:space="preserve">• Energy measurements or energy proxies.</w:t>
      </w:r>
    </w:p>
    <w:p>
      <w:r>
        <w:t xml:space="preserve">• Sensor-network scenario with at least simulated topology.</w:t>
      </w:r>
    </w:p>
    <w:p>
      <w:r>
        <w:t xml:space="preserve">• Failure analysis for safety-critical commands.</w:t>
      </w:r>
    </w:p>
    <w:p>
      <w:r>
        <w:t xml:space="preserve">• Comparison against local rule-only system and LLM-only system.</w:t>
      </w:r>
    </w:p>
    <w:p>
      <w:r>
        <w:t xml:space="preserve"/>
      </w:r>
    </w:p>
    <w:p>
      <w:pPr>
        <w:pStyle w:val="Heading2"/>
      </w:pPr>
      <w:r>
        <w:t xml:space="preserve">7. Conclusion</w:t>
      </w:r>
    </w:p>
    <w:p>
      <w:r>
        <w:t xml:space="preserve"/>
      </w:r>
    </w:p>
    <w:p>
      <w:r>
        <w:t xml:space="preserve">The current prototype supports the claim that hybrid skill execution improves reliability for contract-heavy edge tasks. With additional device and network experiments, this can be developed into an IoT journal paper.</w:t>
      </w:r>
    </w:p>
    <w:p>
      <w:r>
        <w:t xml:space="preserve"/>
      </w:r>
    </w:p>
    <w:p>
      <w:pPr>
        <w:pStyle w:val="Heading2"/>
      </w:pPr>
      <w:r>
        <w:t xml:space="preserve">已核验/需二次核验来源</w:t>
      </w:r>
    </w:p>
    <w:p>
      <w:r>
        <w:t xml:space="preserve"/>
      </w:r>
    </w:p>
    <w:p>
      <w:r>
        <w:t xml:space="preserve">• ASPLOS 2026 CFP: https://www.asplos-conference.org/asplos2026/cfp/</w:t>
      </w:r>
    </w:p>
    <w:p>
      <w:r>
        <w:t xml:space="preserve">• ASPLOS'27 CFP: https://www.asplos-conference.org/call-for-papers-asplos27/</w:t>
      </w:r>
    </w:p>
    <w:p>
      <w:r>
        <w:t xml:space="preserve">• MLSys 2026: https://mlsys.org/</w:t>
      </w:r>
    </w:p>
    <w:p>
      <w:r>
        <w:t xml:space="preserve">• IEEE Internet of Things Journal: https://ieee-iotj.org/</w:t>
      </w:r>
    </w:p>
    <w:p>
      <w:r>
        <w:t xml:space="preserve">• ACM Transactions on Embedded Computing Systems: https://acmtecs.hosting.acm.org/</w:t>
      </w:r>
    </w:p>
    <w:p>
      <w:r>
        <w:t xml:space="preserve">• ACM Transactions on Cyber-Physical Systems: https://www.codes-isss.org/tcps_subdomain/index/</w:t>
      </w:r>
    </w:p>
    <w:p>
      <w:r>
        <w:t xml:space="preserve">• Journal of Systems Architecture: https://www.sciencedirect.com/journal/journal-of-systems-architecture</w:t>
      </w:r>
    </w:p>
    <w:p>
      <w:r>
        <w:t xml:space="preserve">• Elsevier Internet of Things: https://www.sciencedirect.com/journal/internet-of-things</w:t>
      </w:r>
    </w:p>
    <w:p>
      <w:r>
        <w:t xml:space="preserve">• 本地实验依据：`outputs/eigenskill_v2_package_manifest.json`、`outputs/EigenSkill-v2-Hybrid-Training-Report.md`、`train_python/README.md`</w:t>
      </w:r>
    </w:p>
    <w:p>
      <w:r>
        <w:t xml:space="preserve"/>
      </w:r>
    </w:p>
    <w:p>
      <w:r>
        <w:t xml:space="preserve">说明：网页 scope 和投稿时间会随年度变化。本文档的场景匹配和路线判断已按 2026-06-03 的公开页面做过初步核验，但正式投稿前必须重新确认当年 CFP、页数、匿名要求、重投限制、APC/开放获取政策和 special issue 状态。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rFonts w:ascii="Microsoft YaHei" w:eastAsia="Microsoft YaHei"/>
      <w:sz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rFonts w:ascii="Microsoft YaHei" w:eastAsia="Microsoft YaHei"/>
      <w:sz w:val="28"/>
    </w:rPr>
  </w:style>
  <w:style w:type="paragraph" w:styleId="Heading3">
    <w:name w:val="heading 3"/>
    <w:basedOn w:val="Normal"/>
    <w:next w:val="Normal"/>
    <w:pPr>
      <w:spacing w:before="120" w:after="80"/>
      <w:outlineLvl w:val="2"/>
    </w:pPr>
    <w:rPr>
      <w:b/>
      <w:rFonts w:ascii="Microsoft YaHei" w:eastAsia="Microsoft YaHei"/>
      <w:sz w:val="24"/>
    </w:rPr>
  </w:style>
  <w:style w:type="paragraph" w:styleId="Code">
    <w:name w:val="Code"/>
    <w:basedOn w:val="Normal"/>
    <w:pPr>
      <w:spacing w:before="80" w:after="80"/>
    </w:pPr>
    <w:rPr>
      <w:rFonts w:ascii="Consolas" w:eastAsia="Microsoft YaHei"/>
      <w:sz w:val="20"/>
    </w:rPr>
  </w:style>
</w:styles>
</file>

<file path=word/_rels/document.xml.rels><?xml version="1.0" encoding="UTF-8" standalone="yes"?>
<Relationships xmlns="http://schemas.openxmlformats.org/package/2006/relationships"/>

</file>