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Paper Draft D - Swarm/CPS Architecture Track</w:t>
      </w:r>
    </w:p>
    <w:p>
      <w:r>
        <w:t xml:space="preserve"/>
      </w:r>
    </w:p>
    <w:p>
      <w:pPr>
        <w:pStyle w:val="Heading2"/>
      </w:pPr>
      <w:r>
        <w:t xml:space="preserve">Working Title</w:t>
      </w:r>
    </w:p>
    <w:p>
      <w:r>
        <w:t xml:space="preserve"/>
      </w:r>
    </w:p>
    <w:p>
      <w:r>
        <w:t xml:space="preserve">Cross-Medium Distributed Micro-Kernel Swarm LLMs: A Vision for Low-Bandwidth Cyber-Physical Skill Assembly</w:t>
      </w:r>
    </w:p>
    <w:p>
      <w:r>
        <w:t xml:space="preserve"/>
      </w:r>
    </w:p>
    <w:p>
      <w:pPr>
        <w:pStyle w:val="Heading2"/>
      </w:pPr>
      <w:r>
        <w:t xml:space="preserve">Target Venues</w:t>
      </w:r>
    </w:p>
    <w:p>
      <w:r>
        <w:t xml:space="preserve"/>
      </w:r>
    </w:p>
    <w:p>
      <w:r>
        <w:t xml:space="preserve">ACM TCPS, ACM TOSN, Elsevier Internet of Things, IoT/CPS workshops.</w:t>
      </w:r>
    </w:p>
    <w:p>
      <w:r>
        <w:t xml:space="preserve"/>
      </w:r>
    </w:p>
    <w:p>
      <w:pPr>
        <w:pStyle w:val="Heading2"/>
      </w:pPr>
      <w:r>
        <w:t xml:space="preserve">Abstract</w:t>
      </w:r>
    </w:p>
    <w:p>
      <w:r>
        <w:t xml:space="preserve"/>
      </w:r>
    </w:p>
    <w:p>
      <w:r>
        <w:t xml:space="preserve">Future AIoT systems may span air, ground, and underwater environments where radio links are intermittent, acoustic communication is low bandwidth, and physical docking may be required for high-bandwidth exchange. We propose a cross-medium distributed micro-kernel swarm architecture in which each node stores a small skill dictionary and executes bounded LLM-derived skills locally. Instead of transmitting hidden states or model parameters, nodes exchange compact skill identifiers, scalar parameters, safety states, and authentication tags. When high-bandwidth coordination is required, nodes can physically assemble through a wired or magnetic bus. This paper frames the architecture, threat model, and research agenda. The current EigenSkill prototype validates only the skill-runtime layer on controlled data; the cross-medium physical swarm remains future work.</w:t>
      </w:r>
    </w:p>
    <w:p>
      <w:r>
        <w:t xml:space="preserve"/>
      </w:r>
    </w:p>
    <w:p>
      <w:pPr>
        <w:pStyle w:val="Heading2"/>
      </w:pPr>
      <w:r>
        <w:t xml:space="preserve">1. Vision</w:t>
      </w:r>
    </w:p>
    <w:p>
      <w:r>
        <w:t xml:space="preserve"/>
      </w:r>
    </w:p>
    <w:p>
      <w:r>
        <w:t xml:space="preserve">The central vision is to replace a monolithic edge model with a swarm of small skill executors. Each node owns:</w:t>
      </w:r>
    </w:p>
    <w:p>
      <w:r>
        <w:t xml:space="preserve"/>
      </w:r>
    </w:p>
    <w:p>
      <w:r>
        <w:t xml:space="preserve">• a local skill dictionary;</w:t>
      </w:r>
    </w:p>
    <w:p>
      <w:r>
        <w:t xml:space="preserve">• a small semantic router or command interface;</w:t>
      </w:r>
    </w:p>
    <w:p>
      <w:r>
        <w:t xml:space="preserve">• deterministic micro-kernels for bounded tasks;</w:t>
      </w:r>
    </w:p>
    <w:p>
      <w:r>
        <w:t xml:space="preserve">• a compact packet encoder;</w:t>
      </w:r>
    </w:p>
    <w:p>
      <w:r>
        <w:t xml:space="preserve">• a safety gate;</w:t>
      </w:r>
    </w:p>
    <w:p>
      <w:r>
        <w:t xml:space="preserve">• optional physical docking interface.</w:t>
      </w:r>
    </w:p>
    <w:p>
      <w:r>
        <w:t xml:space="preserve"/>
      </w:r>
    </w:p>
    <w:p>
      <w:pPr>
        <w:pStyle w:val="Heading2"/>
      </w:pPr>
      <w:r>
        <w:t xml:space="preserve">2. Cross-Medium Communication</w:t>
      </w:r>
    </w:p>
    <w:p>
      <w:r>
        <w:t xml:space="preserve"/>
      </w:r>
    </w:p>
    <w:p>
      <w:r>
        <w:t xml:space="preserve">In underwater or low-power links, bandwidth is too limited for tensor exchange. The proposed protocol transmits:</w:t>
      </w:r>
    </w:p>
    <w:p>
      <w:r>
        <w:t xml:space="preserve"/>
      </w:r>
    </w:p>
    <w:p>
      <w:pPr>
        <w:pStyle w:val="Code"/>
      </w:pPr>
      <w:r>
        <w:t xml:space="preserve">{Skill ID, arguments, precision policy, auth tag, timestamp}</w:t>
      </w:r>
    </w:p>
    <w:p>
      <w:r>
        <w:t xml:space="preserve"/>
      </w:r>
    </w:p>
    <w:p>
      <w:r>
        <w:t xml:space="preserve">The receiving node reconstructs the operation using its local skill dictionary. This is closer to distributed procedure calls than tensor parallelism.</w:t>
      </w:r>
    </w:p>
    <w:p>
      <w:r>
        <w:t xml:space="preserve"/>
      </w:r>
    </w:p>
    <w:p>
      <w:pPr>
        <w:pStyle w:val="Heading2"/>
      </w:pPr>
      <w:r>
        <w:t xml:space="preserve">3. Morphological Assembly</w:t>
      </w:r>
    </w:p>
    <w:p>
      <w:r>
        <w:t xml:space="preserve"/>
      </w:r>
    </w:p>
    <w:p>
      <w:r>
        <w:t xml:space="preserve">When the system requires high-bandwidth coordination, nodes may physically dock and switch from wireless/acoustic links to SPI/CAN/UART-like buses. This part is speculative and requires mechanical, electrical, and control-system validation.</w:t>
      </w:r>
    </w:p>
    <w:p>
      <w:r>
        <w:t xml:space="preserve"/>
      </w:r>
    </w:p>
    <w:p>
      <w:pPr>
        <w:pStyle w:val="Heading2"/>
      </w:pPr>
      <w:r>
        <w:t xml:space="preserve">4. Security</w:t>
      </w:r>
    </w:p>
    <w:p>
      <w:r>
        <w:t xml:space="preserve"/>
      </w:r>
    </w:p>
    <w:p>
      <w:r>
        <w:t xml:space="preserve">The system should authenticate skill packets before executing physical actions. A lightweight construction can include:</w:t>
      </w:r>
    </w:p>
    <w:p>
      <w:r>
        <w:t xml:space="preserve"/>
      </w:r>
    </w:p>
    <w:p>
      <w:pPr>
        <w:pStyle w:val="Code"/>
      </w:pPr>
      <w:r>
        <w:t xml:space="preserve">auth = MAC(timestamp || skill_id || args || nonce)</w:t>
      </w:r>
    </w:p>
    <w:p>
      <w:r>
        <w:t xml:space="preserve"/>
      </w:r>
    </w:p>
    <w:p>
      <w:r>
        <w:t xml:space="preserve">ChaCha20-Poly1305 is a reasonable candidate for authenticated encryption on constrained devices, but the exact security implementation must be validated against platform constraints.</w:t>
      </w:r>
    </w:p>
    <w:p>
      <w:r>
        <w:t xml:space="preserve"/>
      </w:r>
    </w:p>
    <w:p>
      <w:pPr>
        <w:pStyle w:val="Heading2"/>
      </w:pPr>
      <w:r>
        <w:t xml:space="preserve">5. Current Evidence</w:t>
      </w:r>
    </w:p>
    <w:p>
      <w:r>
        <w:t xml:space="preserve"/>
      </w:r>
    </w:p>
    <w:p>
      <w:r>
        <w:t xml:space="preserve">Current EigenSkill evidence covers:</w:t>
      </w:r>
    </w:p>
    <w:p>
      <w:r>
        <w:t xml:space="preserve"/>
      </w:r>
    </w:p>
    <w:p>
      <w:r>
        <w:t xml:space="preserve">• eight skill definitions;</w:t>
      </w:r>
    </w:p>
    <w:p>
      <w:r>
        <w:t xml:space="preserve">• LoRA fine-tuning over a 360M model;</w:t>
      </w:r>
    </w:p>
    <w:p>
      <w:r>
        <w:t xml:space="preserve">• 96.60% pure-model exact match;</w:t>
      </w:r>
    </w:p>
    <w:p>
      <w:r>
        <w:t xml:space="preserve">• 99.93% hybrid exact match;</w:t>
      </w:r>
    </w:p>
    <w:p>
      <w:r>
        <w:t xml:space="preserve">• deterministic bypass for `unit_time_normalize`;</w:t>
      </w:r>
    </w:p>
    <w:p>
      <w:r>
        <w:t xml:space="preserve">• C++ low-rank microbenchmark.</w:t>
      </w:r>
    </w:p>
    <w:p>
      <w:r>
        <w:t xml:space="preserve"/>
      </w:r>
    </w:p>
    <w:p>
      <w:r>
        <w:t xml:space="preserve">It does not yet cover:</w:t>
      </w:r>
    </w:p>
    <w:p>
      <w:r>
        <w:t xml:space="preserve"/>
      </w:r>
    </w:p>
    <w:p>
      <w:r>
        <w:t xml:space="preserve">• water acoustic communication;</w:t>
      </w:r>
    </w:p>
    <w:p>
      <w:r>
        <w:t xml:space="preserve">• magnetic docking;</w:t>
      </w:r>
    </w:p>
    <w:p>
      <w:r>
        <w:t xml:space="preserve">• multi-node physical assembly;</w:t>
      </w:r>
    </w:p>
    <w:p>
      <w:r>
        <w:t xml:space="preserve">• real swarm coordination;</w:t>
      </w:r>
    </w:p>
    <w:p>
      <w:r>
        <w:t xml:space="preserve">• power/energy measurements.</w:t>
      </w:r>
    </w:p>
    <w:p>
      <w:r>
        <w:t xml:space="preserve"/>
      </w:r>
    </w:p>
    <w:p>
      <w:pPr>
        <w:pStyle w:val="Heading2"/>
      </w:pPr>
      <w:r>
        <w:t xml:space="preserve">6. Research Plan</w:t>
      </w:r>
    </w:p>
    <w:p>
      <w:r>
        <w:t xml:space="preserve"/>
      </w:r>
    </w:p>
    <w:p>
      <w:r>
        <w:t xml:space="preserve">1. Simulate 10-50 nodes with low-bandwidth packet exchange.</w:t>
      </w:r>
    </w:p>
    <w:p>
      <w:r>
        <w:t xml:space="preserve">2. Implement packet authentication.</w:t>
      </w:r>
    </w:p>
    <w:p>
      <w:r>
        <w:t xml:space="preserve">3. Deploy two or three physical nodes with sensor triage and safety gate.</w:t>
      </w:r>
    </w:p>
    <w:p>
      <w:r>
        <w:t xml:space="preserve">4. Measure communication savings against text/tool-call baselines.</w:t>
      </w:r>
    </w:p>
    <w:p>
      <w:r>
        <w:t xml:space="preserve">5. Add physical docking only after software protocol stabilizes.</w:t>
      </w:r>
    </w:p>
    <w:p>
      <w:r>
        <w:t xml:space="preserve"/>
      </w:r>
    </w:p>
    <w:p>
      <w:pPr>
        <w:pStyle w:val="Heading2"/>
      </w:pPr>
      <w:r>
        <w:t xml:space="preserve">7. Positioning</w:t>
      </w:r>
    </w:p>
    <w:p>
      <w:r>
        <w:t xml:space="preserve"/>
      </w:r>
    </w:p>
    <w:p>
      <w:r>
        <w:t xml:space="preserve">This paper should be written as a vision or architecture proposal, not as a completed systems paper. The honest contribution is the architecture and the path from skill micro-kernels to distributed cyber-physical execution.</w:t>
      </w:r>
    </w:p>
    <w:p>
      <w:r>
        <w:t xml:space="preserve"/>
      </w:r>
    </w:p>
    <w:p>
      <w:pPr>
        <w:pStyle w:val="Heading2"/>
      </w:pPr>
      <w:r>
        <w:t xml:space="preserve">已核验/需二次核验来源</w:t>
      </w:r>
    </w:p>
    <w:p>
      <w:r>
        <w:t xml:space="preserve"/>
      </w:r>
    </w:p>
    <w:p>
      <w:r>
        <w:t xml:space="preserve">• ASPLOS 2026 CFP: https://www.asplos-conference.org/asplos2026/cfp/</w:t>
      </w:r>
    </w:p>
    <w:p>
      <w:r>
        <w:t xml:space="preserve">• ASPLOS'27 CFP: https://www.asplos-conference.org/call-for-papers-asplos27/</w:t>
      </w:r>
    </w:p>
    <w:p>
      <w:r>
        <w:t xml:space="preserve">• MLSys 2026: https://mlsys.org/</w:t>
      </w:r>
    </w:p>
    <w:p>
      <w:r>
        <w:t xml:space="preserve">• IEEE Internet of Things Journal: https://ieee-iotj.org/</w:t>
      </w:r>
    </w:p>
    <w:p>
      <w:r>
        <w:t xml:space="preserve">• ACM Transactions on Embedded Computing Systems: https://acmtecs.hosting.acm.org/</w:t>
      </w:r>
    </w:p>
    <w:p>
      <w:r>
        <w:t xml:space="preserve">• ACM Transactions on Cyber-Physical Systems: https://www.codes-isss.org/tcps_subdomain/index/</w:t>
      </w:r>
    </w:p>
    <w:p>
      <w:r>
        <w:t xml:space="preserve">• Journal of Systems Architecture: https://www.sciencedirect.com/journal/journal-of-systems-architecture</w:t>
      </w:r>
    </w:p>
    <w:p>
      <w:r>
        <w:t xml:space="preserve">• Elsevier Internet of Things: https://www.sciencedirect.com/journal/internet-of-things</w:t>
      </w:r>
    </w:p>
    <w:p>
      <w:r>
        <w:t xml:space="preserve">• 本地实验依据：`outputs/eigenskill_v2_package_manifest.json`、`outputs/EigenSkill-v2-Hybrid-Training-Report.md`、`train_python/README.md`</w:t>
      </w:r>
    </w:p>
    <w:p>
      <w:r>
        <w:t xml:space="preserve"/>
      </w:r>
    </w:p>
    <w:p>
      <w:r>
        <w:t xml:space="preserve">说明：网页 scope 和投稿时间会随年度变化。本文档的场景匹配和路线判断已按 2026-06-03 的公开页面做过初步核验，但正式投稿前必须重新确认当年 CFP、页数、匿名要求、重投限制、APC/开放获取政策和 special issue 状态。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rFonts w:ascii="Microsoft YaHei" w:eastAsia="Microsoft YaHei"/>
      <w:sz w:val="32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b/>
      <w:rFonts w:ascii="Microsoft YaHei" w:eastAsia="Microsoft YaHei"/>
      <w:sz w:val="28"/>
    </w:rPr>
  </w:style>
  <w:style w:type="paragraph" w:styleId="Heading3">
    <w:name w:val="heading 3"/>
    <w:basedOn w:val="Normal"/>
    <w:next w:val="Normal"/>
    <w:pPr>
      <w:spacing w:before="120" w:after="80"/>
      <w:outlineLvl w:val="2"/>
    </w:pPr>
    <w:rPr>
      <w:b/>
      <w:rFonts w:ascii="Microsoft YaHei" w:eastAsia="Microsoft YaHei"/>
      <w:sz w:val="24"/>
    </w:rPr>
  </w:style>
  <w:style w:type="paragraph" w:styleId="Code">
    <w:name w:val="Code"/>
    <w:basedOn w:val="Normal"/>
    <w:pPr>
      <w:spacing w:before="80" w:after="80"/>
    </w:pPr>
    <w:rPr>
      <w:rFonts w:ascii="Consolas" w:eastAsia="Microsoft YaHei"/>
      <w:sz w:val="20"/>
    </w:rPr>
  </w:style>
</w:styles>
</file>

<file path=word/_rels/document.xml.rels><?xml version="1.0" encoding="UTF-8" standalone="yes"?>
<Relationships xmlns="http://schemas.openxmlformats.org/package/2006/relationships"/>

</file>