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eigenskill-q-阶段交付可验证量化策略旁路"/>
    <w:p>
      <w:pPr>
        <w:pStyle w:val="Heading1"/>
      </w:pPr>
      <w:r>
        <w:t xml:space="preserve">EigenSkill-Q </w:t>
      </w:r>
      <w:r>
        <w:rPr>
          <w:rFonts w:hint="eastAsia"/>
        </w:rPr>
        <w:t xml:space="preserve">阶段交付：可验证量化策略旁路</w:t>
      </w:r>
    </w:p>
    <w:p>
      <w:pPr>
        <w:pStyle w:val="FirstParagraph"/>
      </w:pPr>
      <w:r>
        <w:rPr>
          <w:rFonts w:hint="eastAsia"/>
        </w:rPr>
        <w:t xml:space="preserve">日期：2026-06-04</w:t>
      </w:r>
    </w:p>
    <w:bookmarkStart w:id="9" w:name="结论"/>
    <w:p>
      <w:pPr>
        <w:pStyle w:val="Heading2"/>
      </w:pPr>
      <w:r>
        <w:rPr>
          <w:rFonts w:hint="eastAsia"/>
        </w:rPr>
        <w:t xml:space="preserve">结论</w:t>
      </w:r>
    </w:p>
    <w:p>
      <w:pPr>
        <w:pStyle w:val="FirstParagraph"/>
      </w:pPr>
      <w:r>
        <w:rPr>
          <w:rFonts w:hint="eastAsia"/>
        </w:rPr>
        <w:t xml:space="preserve">当前最稳的研究主线是：</w:t>
      </w:r>
    </w:p>
    <w:p>
      <w:pPr>
        <w:pStyle w:val="SourceCode"/>
      </w:pPr>
      <w:r>
        <w:rPr>
          <w:rStyle w:val="VerbatimChar"/>
        </w:rPr>
        <w:t xml:space="preserve">Verifiable Policy Bypass for Sensitivity-Rate-Distortion Guided</w:t>
      </w:r>
      <w:r>
        <w:br/>
      </w:r>
      <w:r>
        <w:rPr>
          <w:rStyle w:val="VerbatimChar"/>
        </w:rPr>
        <w:t xml:space="preserve">Mixed-Precision LLM Quantization</w:t>
      </w:r>
    </w:p>
    <w:p>
      <w:pPr>
        <w:pStyle w:val="FirstParagraph"/>
      </w:pPr>
      <w:r>
        <w:rPr>
          <w:rFonts w:hint="eastAsia"/>
        </w:rPr>
        <w:t xml:space="preserve">不要把项目写成已经完成的</w:t>
      </w:r>
      <w:r>
        <w:t xml:space="preserve"> edge LLM、swarm LLM </w:t>
      </w:r>
      <w:r>
        <w:rPr>
          <w:rFonts w:hint="eastAsia"/>
        </w:rPr>
        <w:t xml:space="preserve">或真正</w:t>
      </w:r>
      <w:r>
        <w:t xml:space="preserve"> </w:t>
      </w:r>
      <w:r>
        <w:rPr>
          <w:rFonts w:hint="eastAsia"/>
        </w:rPr>
        <w:t xml:space="preserve">eigen-routing。短周期</w:t>
      </w:r>
      <w:r>
        <w:t xml:space="preserve"> </w:t>
      </w:r>
      <w:r>
        <w:rPr>
          <w:rFonts w:hint="eastAsia"/>
        </w:rPr>
        <w:t xml:space="preserve">成果应聚焦在“量化策略技能</w:t>
      </w:r>
      <w:r>
        <w:t xml:space="preserve"> + </w:t>
      </w:r>
      <w:r>
        <w:rPr>
          <w:rFonts w:hint="eastAsia"/>
        </w:rPr>
        <w:t xml:space="preserve">可验证</w:t>
      </w:r>
      <w:r>
        <w:t xml:space="preserve"> policy kernel + </w:t>
      </w:r>
      <w:r>
        <w:rPr>
          <w:rFonts w:hint="eastAsia"/>
        </w:rPr>
        <w:t xml:space="preserve">数学/强化学习扩展”。</w:t>
      </w:r>
    </w:p>
    <w:bookmarkEnd w:id="9"/>
    <w:bookmarkStart w:id="10" w:name="已完成"/>
    <w:p>
      <w:pPr>
        <w:pStyle w:val="Heading2"/>
      </w:pPr>
      <w:r>
        <w:rPr>
          <w:rFonts w:hint="eastAsia"/>
        </w:rPr>
        <w:t xml:space="preserve">已完成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新增</w:t>
      </w:r>
      <w:r>
        <w:t xml:space="preserve"> C++ policy </w:t>
      </w:r>
      <w:r>
        <w:rPr>
          <w:rFonts w:hint="eastAsia"/>
        </w:rPr>
        <w:t xml:space="preserve">evaluator：</w:t>
      </w:r>
      <w:r>
        <w:t xml:space="preserve"> </w:t>
      </w:r>
      <w:r>
        <w:rPr>
          <w:rStyle w:val="VerbatimChar"/>
        </w:rPr>
        <w:t xml:space="preserve">inference_cpp/src/quant_policy_bypass.cpp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扩展</w:t>
      </w:r>
      <w:r>
        <w:t xml:space="preserve"> Windows/MSVC build </w:t>
      </w:r>
      <w:r>
        <w:rPr>
          <w:rFonts w:hint="eastAsia"/>
        </w:rPr>
        <w:t xml:space="preserve">脚本：</w:t>
      </w:r>
      <w:r>
        <w:t xml:space="preserve"> </w:t>
      </w:r>
      <w:r>
        <w:rPr>
          <w:rStyle w:val="VerbatimChar"/>
        </w:rPr>
        <w:t xml:space="preserve">inference_cpp/build-msvc.ps1 -Target quant-policy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验证</w:t>
      </w:r>
      <w:r>
        <w:t xml:space="preserve"> </w:t>
      </w:r>
      <w:r>
        <w:rPr>
          <w:rFonts w:hint="eastAsia"/>
        </w:rPr>
        <w:t xml:space="preserve">eval/test：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policy_fields_exact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decision_exact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parse_error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throughput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8261 rows/s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6924 rows/s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Python strict oracle </w:t>
      </w:r>
      <w:r>
        <w:rPr>
          <w:rFonts w:hint="eastAsia"/>
        </w:rPr>
        <w:t xml:space="preserve">已验证：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exact_json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decision_exact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parse_error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0.000000</w:t>
            </w:r>
          </w:p>
        </w:tc>
      </w:tr>
    </w:tbl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已写交付文件：</w:t>
      </w:r>
    </w:p>
    <w:p>
      <w:pPr>
        <w:pStyle w:val="SourceCode"/>
      </w:pPr>
      <w:r>
        <w:rPr>
          <w:rStyle w:val="VerbatimChar"/>
        </w:rPr>
        <w:t xml:space="preserve">outputs/EigenSkill-Q-Cpp-Policy-Bypass-Report.md</w:t>
      </w:r>
      <w:r>
        <w:br/>
      </w:r>
      <w:r>
        <w:rPr>
          <w:rStyle w:val="VerbatimChar"/>
        </w:rPr>
        <w:t xml:space="preserve">outputs/paper_delivery_2026-06-04/EigenSkill-Q_CCF-A_Draft.md</w:t>
      </w:r>
      <w:r>
        <w:br/>
      </w:r>
      <w:r>
        <w:rPr>
          <w:rStyle w:val="VerbatimChar"/>
          <w:rFonts w:hint="eastAsia"/>
        </w:rPr>
        <w:t xml:space="preserve">outputs/paper_delivery_2026-06-04/导师速览.md</w:t>
      </w:r>
      <w:r>
        <w:br/>
      </w:r>
      <w:r>
        <w:rPr>
          <w:rStyle w:val="VerbatimChar"/>
        </w:rPr>
        <w:t xml:space="preserve">outputs/paper_delivery_2026-06-04/authorization-and-channel-audit.md</w:t>
      </w:r>
    </w:p>
    <w:bookmarkEnd w:id="10"/>
    <w:bookmarkStart w:id="11" w:name="数学主线"/>
    <w:p>
      <w:pPr>
        <w:pStyle w:val="Heading2"/>
      </w:pPr>
      <w:r>
        <w:rPr>
          <w:rFonts w:hint="eastAsia"/>
        </w:rPr>
        <w:t xml:space="preserve">数学主线</w:t>
      </w:r>
    </w:p>
    <w:p>
      <w:pPr>
        <w:pStyle w:val="FirstParagraph"/>
      </w:pPr>
      <w:r>
        <w:rPr>
          <w:rFonts w:hint="eastAsia"/>
        </w:rPr>
        <w:t xml:space="preserve">把量化策略写成约束优化：</w:t>
      </w:r>
    </w:p>
    <w:p>
      <w:pPr>
        <w:pStyle w:val="SourceCode"/>
      </w:pPr>
      <w:r>
        <w:rPr>
          <w:rStyle w:val="VerbatimChar"/>
        </w:rPr>
        <w:t xml:space="preserve">minimize    sum_l D_l(W_l, A_l, Q_l) + alpha C_l(b_l, R_l, o_l, r_l, k_l)</w:t>
      </w:r>
      <w:r>
        <w:br/>
      </w:r>
      <w:r>
        <w:rPr>
          <w:rStyle w:val="VerbatimChar"/>
        </w:rPr>
        <w:t xml:space="preserve">subject to  sum_l M_l(b_l, k_l) &lt;= B</w:t>
      </w:r>
      <w:r>
        <w:br/>
      </w:r>
      <w:r>
        <w:rPr>
          <w:rStyle w:val="VerbatimChar"/>
        </w:rPr>
        <w:t xml:space="preserve">            sum_l T_l(b_l, R_l, r_l, k_l) &lt;= T</w:t>
      </w:r>
      <w:r>
        <w:br/>
      </w:r>
      <w:r>
        <w:rPr>
          <w:rStyle w:val="VerbatimChar"/>
        </w:rPr>
        <w:t xml:space="preserve">            Risk_l(o_l, b_l, k_l) &lt;= epsilon_l</w:t>
      </w:r>
    </w:p>
    <w:p>
      <w:pPr>
        <w:pStyle w:val="FirstParagraph"/>
      </w:pPr>
      <w:r>
        <w:rPr>
          <w:rFonts w:hint="eastAsia"/>
        </w:rPr>
        <w:t xml:space="preserve">在线版本写成</w:t>
      </w:r>
      <w:r>
        <w:t xml:space="preserve"> constrained contextual </w:t>
      </w:r>
      <w:r>
        <w:rPr>
          <w:rFonts w:hint="eastAsia"/>
        </w:rPr>
        <w:t xml:space="preserve">bandit：</w:t>
      </w:r>
    </w:p>
    <w:p>
      <w:pPr>
        <w:pStyle w:val="SourceCode"/>
      </w:pPr>
      <w:r>
        <w:rPr>
          <w:rStyle w:val="VerbatimChar"/>
        </w:rPr>
        <w:t xml:space="preserve">maximize    E[Reward(x_t, a_t)]</w:t>
      </w:r>
      <w:r>
        <w:br/>
      </w:r>
      <w:r>
        <w:rPr>
          <w:rStyle w:val="VerbatimChar"/>
        </w:rPr>
        <w:t xml:space="preserve">subject to  E[Memory(x_t, a_t)] &lt;= B</w:t>
      </w:r>
      <w:r>
        <w:br/>
      </w:r>
      <w:r>
        <w:rPr>
          <w:rStyle w:val="VerbatimChar"/>
        </w:rPr>
        <w:t xml:space="preserve">            E[Latency(x_t, a_t)] &lt;= T</w:t>
      </w:r>
      <w:r>
        <w:br/>
      </w:r>
      <w:r>
        <w:rPr>
          <w:rStyle w:val="VerbatimChar"/>
        </w:rPr>
        <w:t xml:space="preserve">            P(QualityDrop(x_t, a_t) &gt; delta) &lt;= eta</w:t>
      </w:r>
    </w:p>
    <w:bookmarkEnd w:id="11"/>
    <w:bookmarkStart w:id="12" w:name="候选-ccf-a-路线"/>
    <w:p>
      <w:pPr>
        <w:pStyle w:val="Heading2"/>
      </w:pPr>
      <w:r>
        <w:rPr>
          <w:rFonts w:hint="eastAsia"/>
        </w:rPr>
        <w:t xml:space="preserve">候选</w:t>
      </w:r>
      <w:r>
        <w:t xml:space="preserve"> CCF-A </w:t>
      </w:r>
      <w:r>
        <w:rPr>
          <w:rFonts w:hint="eastAsia"/>
        </w:rPr>
        <w:t xml:space="preserve">路线</w:t>
      </w:r>
    </w:p>
    <w:p>
      <w:pPr>
        <w:pStyle w:val="FirstParagraph"/>
      </w:pPr>
      <w:r>
        <w:rPr>
          <w:rFonts w:hint="eastAsia"/>
        </w:rPr>
        <w:t xml:space="preserve">避开</w:t>
      </w:r>
      <w:r>
        <w:t xml:space="preserve"> NeurIPS / MLSys </w:t>
      </w:r>
      <w:r>
        <w:rPr>
          <w:rFonts w:hint="eastAsia"/>
        </w:rPr>
        <w:t xml:space="preserve">后，建议按证据强度选择：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ICML：数学、rate-distortion、bandit/RL</w:t>
      </w:r>
      <w:r>
        <w:t xml:space="preserve"> </w:t>
      </w:r>
      <w:r>
        <w:rPr>
          <w:rFonts w:hint="eastAsia"/>
        </w:rPr>
        <w:t xml:space="preserve">足够强时；</w:t>
      </w:r>
    </w:p>
    <w:p>
      <w:pPr>
        <w:pStyle w:val="Compact"/>
        <w:numPr>
          <w:ilvl w:val="0"/>
          <w:numId w:val="1004"/>
        </w:numPr>
      </w:pPr>
      <w:r>
        <w:t xml:space="preserve">IJCAI / </w:t>
      </w:r>
      <w:r>
        <w:rPr>
          <w:rFonts w:hint="eastAsia"/>
        </w:rPr>
        <w:t xml:space="preserve">AAAI：AI</w:t>
      </w:r>
      <w:r>
        <w:t xml:space="preserve"> policy learning + </w:t>
      </w:r>
      <w:r>
        <w:rPr>
          <w:rFonts w:hint="eastAsia"/>
        </w:rPr>
        <w:t xml:space="preserve">真实量化实验；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ACL：可靠工具执行</w:t>
      </w:r>
      <w:r>
        <w:t xml:space="preserve"> / structured generation / LLM </w:t>
      </w:r>
      <w:r>
        <w:rPr>
          <w:rFonts w:hint="eastAsia"/>
        </w:rPr>
        <w:t xml:space="preserve">serving；</w:t>
      </w:r>
    </w:p>
    <w:p>
      <w:pPr>
        <w:pStyle w:val="Compact"/>
        <w:numPr>
          <w:ilvl w:val="0"/>
          <w:numId w:val="1004"/>
        </w:numPr>
      </w:pPr>
      <w:r>
        <w:t xml:space="preserve">AI / TPAMI / </w:t>
      </w:r>
      <w:r>
        <w:rPr>
          <w:rFonts w:hint="eastAsia"/>
        </w:rPr>
        <w:t xml:space="preserve">JMLR：期刊路线，需要完整理论和更强实验。</w:t>
      </w:r>
    </w:p>
    <w:p>
      <w:pPr>
        <w:pStyle w:val="FirstParagraph"/>
      </w:pPr>
      <w:r>
        <w:t xml:space="preserve">TNNLS </w:t>
      </w:r>
      <w:r>
        <w:rPr>
          <w:rFonts w:hint="eastAsia"/>
        </w:rPr>
        <w:t xml:space="preserve">在</w:t>
      </w:r>
      <w:r>
        <w:t xml:space="preserve"> CCF AI </w:t>
      </w:r>
      <w:r>
        <w:rPr>
          <w:rFonts w:hint="eastAsia"/>
        </w:rPr>
        <w:t xml:space="preserve">官方页列为</w:t>
      </w:r>
      <w:r>
        <w:t xml:space="preserve"> </w:t>
      </w:r>
      <w:r>
        <w:rPr>
          <w:rFonts w:hint="eastAsia"/>
        </w:rPr>
        <w:t xml:space="preserve">B，不建议作为“CCF-A”主推，除非学校另有名单。</w:t>
      </w:r>
    </w:p>
    <w:bookmarkEnd w:id="12"/>
    <w:bookmarkStart w:id="13" w:name="不能声称"/>
    <w:p>
      <w:pPr>
        <w:pStyle w:val="Heading2"/>
      </w:pPr>
      <w:r>
        <w:rPr>
          <w:rFonts w:hint="eastAsia"/>
        </w:rPr>
        <w:t xml:space="preserve">不能声称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不能声称已完成真正</w:t>
      </w:r>
      <w:r>
        <w:t xml:space="preserve"> Transformer</w:t>
      </w:r>
      <w:r>
        <w:t xml:space="preserve"> </w:t>
      </w:r>
      <w:r>
        <w:rPr>
          <w:rStyle w:val="VerbatimChar"/>
        </w:rPr>
        <w:t xml:space="preserve">O(d)</w:t>
      </w:r>
      <w:r>
        <w:t xml:space="preserve"> </w:t>
      </w:r>
      <w:r>
        <w:rPr>
          <w:rFonts w:hint="eastAsia"/>
        </w:rPr>
        <w:t xml:space="preserve">eigen-routing；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不能声称已超过</w:t>
      </w:r>
      <w:r>
        <w:t xml:space="preserve"> </w:t>
      </w:r>
      <w:r>
        <w:rPr>
          <w:rFonts w:hint="eastAsia"/>
        </w:rPr>
        <w:t xml:space="preserve">GPTQ/AWQ/SmoothQuant/QuaRot/SpinQuant/QuIP/AQLM；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不能声称已有真实</w:t>
      </w:r>
      <w:r>
        <w:t xml:space="preserve"> edge/NPU/ARM </w:t>
      </w:r>
      <w:r>
        <w:rPr>
          <w:rFonts w:hint="eastAsia"/>
        </w:rPr>
        <w:t xml:space="preserve">能耗或延迟结果；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不能把</w:t>
      </w:r>
      <w:r>
        <w:t xml:space="preserve"> swarm/acoustic/physical assembly </w:t>
      </w:r>
      <w:r>
        <w:rPr>
          <w:rFonts w:hint="eastAsia"/>
        </w:rPr>
        <w:t xml:space="preserve">写成已实现贡献。</w:t>
      </w:r>
    </w:p>
    <w:bookmarkEnd w:id="13"/>
    <w:bookmarkStart w:id="14" w:name="下一步"/>
    <w:p>
      <w:pPr>
        <w:pStyle w:val="Heading2"/>
      </w:pPr>
      <w:r>
        <w:rPr>
          <w:rFonts w:hint="eastAsia"/>
        </w:rPr>
        <w:t xml:space="preserve">下一步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真实模型：Qwen2.5-0.5B/1.5B、Llama-3.2-1B/3B、SmolLM2-1.7B。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真实量化：RTN、GPTQ、AWQ、SmoothQuant、QuaRot/SpinQuant。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策略实验：heuristic、deterministic</w:t>
      </w:r>
      <w:r>
        <w:t xml:space="preserve"> C++、learned bandit/RL。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指标：PPL、task</w:t>
      </w:r>
      <w:r>
        <w:t xml:space="preserve"> accuracy、memory、latency、policy overhead、router failure。</w:t>
      </w:r>
    </w:p>
    <w:bookmarkEnd w:id="14"/>
    <w:bookmarkStart w:id="15" w:name="参考链接"/>
    <w:p>
      <w:pPr>
        <w:pStyle w:val="Heading2"/>
      </w:pPr>
      <w:r>
        <w:rPr>
          <w:rFonts w:hint="eastAsia"/>
        </w:rPr>
        <w:t xml:space="preserve">参考链接</w:t>
      </w:r>
    </w:p>
    <w:p>
      <w:pPr>
        <w:pStyle w:val="Compact"/>
        <w:numPr>
          <w:ilvl w:val="0"/>
          <w:numId w:val="1007"/>
        </w:numPr>
      </w:pPr>
      <w:r>
        <w:t xml:space="preserve">CCF AI </w:t>
      </w:r>
      <w:r>
        <w:rPr>
          <w:rFonts w:hint="eastAsia"/>
        </w:rPr>
        <w:t xml:space="preserve">推荐目录：https://www.ccf.org.cn/Academic_Evaluation/AI/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GPTQ：https://arxiv.org/abs/2210.17323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AWQ：https://arxiv.org/abs/2306.00978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SmoothQuant：https://arxiv.org/abs/2211.10438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QuaRot：https://arxiv.org/abs/2404.00456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SpinQuant：https://arxiv.org/abs/2405.16406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QuIP#：https://arxiv.org/abs/2402.04396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OmniQuant：https://arxiv.org/abs/2308.13137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AQLM：https://arxiv.org/abs/2401.06118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KIVI：https://arxiv.org/abs/2402.02750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KVQuant：https://arxiv.org/abs/2401.18079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2026-06-03T17:36:01Z</dcterms:created>
  <dcterms:modified xsi:type="dcterms:W3CDTF">2026-06-03T17:36:01Z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