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黑体" w:hAnsi="黑体" w:eastAsia="黑体"/>
          <w:b/>
          <w:sz w:val="36"/>
        </w:rPr>
        <w:t>出  差  申  请  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申请人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工号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部门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出差地点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" w:hAnsi="" w:eastAsia="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出差人数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出差天数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出发日期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返回日期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交通方式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出差事由及目的：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8634"/>
      </w:tblGrid>
      <w:tr>
        <w:tc>
          <w:tcPr>
            <w:tcW w:type="dxa" w:w="86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br/>
              <w:br/>
              <w:br/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出差行程安排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日期</w:t>
            </w:r>
          </w:p>
        </w:tc>
        <w:tc>
          <w:tcPr>
            <w:tcW w:type="dxa" w:w="1727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行程安排</w:t>
            </w:r>
          </w:p>
        </w:tc>
        <w:tc>
          <w:tcPr>
            <w:tcW w:type="dxa" w:w="1727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拜访对象/地点</w:t>
            </w:r>
          </w:p>
        </w:tc>
        <w:tc>
          <w:tcPr>
            <w:tcW w:type="dxa" w:w="1727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预计费用(元)</w:t>
            </w:r>
          </w:p>
        </w:tc>
        <w:tc>
          <w:tcPr>
            <w:tcW w:type="dxa" w:w="1727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第1天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第2天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第3天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费用预算汇总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费用项目</w:t>
            </w:r>
          </w:p>
        </w:tc>
        <w:tc>
          <w:tcPr>
            <w:tcW w:type="dxa" w:w="287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预估金额(元)</w:t>
            </w:r>
          </w:p>
        </w:tc>
        <w:tc>
          <w:tcPr>
            <w:tcW w:type="dxa" w:w="287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交通费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住宿费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餐饮费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其他费用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审批流程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审批环节</w:t>
            </w:r>
          </w:p>
        </w:tc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审批人</w:t>
            </w:r>
          </w:p>
        </w:tc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审批意见</w:t>
            </w:r>
          </w:p>
        </w:tc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签名/日期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直属主管审批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部门负责人审批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财务部审批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备注：</w:t>
      </w:r>
      <w:r>
        <w:rPr>
          <w:rFonts w:ascii="宋体" w:hAnsi="宋体" w:eastAsia="宋体"/>
          <w:sz w:val="22"/>
        </w:rPr>
        <w:t>1. 出差3天以内由直属主管审批；3-7天需部门负责人审批；7天以上需总经理审批。</w:t>
        <w:br/>
        <w:t>2. 出差结束后5个工作日内需提交出差报告及费用报销。</w:t>
        <w:br/>
        <w:t>3. 差旅费用标准参照公司《差旅管理制度》执行。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