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黑体" w:hAnsi="黑体" w:eastAsia="黑体"/>
          <w:b/>
          <w:sz w:val="36"/>
        </w:rPr>
        <w:t>费 用 报 销 申 请 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申请人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工号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部门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报销类别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□差旅费  □招待费  □办公用品  □交通费  □通讯费  □其他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报销日期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关联申请单号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费用明细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费用项目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发生日期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金额(元)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票据类型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17"/>
        <w:gridCol w:w="4317"/>
      </w:tblGrid>
      <w:tr>
        <w:tc>
          <w:tcPr>
            <w:tcW w:type="dxa" w:w="431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报销合计金额（大写）：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（小写）：¥__________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费用说明：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8634"/>
      </w:tblGrid>
      <w:tr>
        <w:tc>
          <w:tcPr>
            <w:tcW w:type="dxa" w:w="86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br/>
              <w:br/>
              <w:br/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附票据清单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8634"/>
      </w:tblGrid>
      <w:tr>
        <w:tc>
          <w:tcPr>
            <w:tcW w:type="dxa" w:w="86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□ 发票  □ 收据  □ 车票  □ 机票行程单  □ 住宿水单  □ 其他__________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审批流程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审批环节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审批人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审批意见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签名/日期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直属主管审批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部门负责人审批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财务部审核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总经理审批（≥2000元）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备注：</w:t>
      </w:r>
      <w:r>
        <w:rPr>
          <w:rFonts w:ascii="宋体" w:hAnsi="宋体" w:eastAsia="宋体"/>
          <w:sz w:val="22"/>
        </w:rPr>
        <w:t>1. 报销金额2000元以下由部门负责人审批；2000-5000元需财务部审核；5000元以上需总经理审批。</w:t>
        <w:br/>
        <w:t>2. 所有票据须为正规发票，票据丢失需书面说明。</w:t>
        <w:br/>
        <w:t>3. 费用报销须在费用发生后30日内提交，逾期不予受理。</w:t>
        <w:br/>
        <w:t>4. 差旅费报销需附出差申请表及出差报告。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