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0"/>
        </w:rPr>
        <w:t>实验1｜反欺诈项目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CHG-01 变更影响与修改记录</w:t>
      </w:r>
    </w:p>
    <w:p>
      <w:pPr>
        <w:spacing w:after="240"/>
      </w:pPr>
      <w:r>
        <w:rPr>
          <w:rFonts w:ascii="Calibri" w:hAnsi="Calibri" w:eastAsia="Microsoft YaHei"/>
          <w:color w:val="667085"/>
          <w:sz w:val="24"/>
        </w:rPr>
        <w:t>预算、周期与门槛联动修改的证据化记录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组号：</w:t>
      </w:r>
      <w:r>
        <w:rPr>
          <w:rFonts w:ascii="Calibri" w:hAnsi="Calibri" w:eastAsia="Microsoft YaHei"/>
          <w:sz w:val="22"/>
        </w:rPr>
        <w:t>G21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组员姓名与学号：</w:t>
      </w:r>
      <w:r>
        <w:rPr>
          <w:rFonts w:ascii="Calibri" w:hAnsi="Calibri" w:eastAsia="Microsoft YaHei"/>
          <w:sz w:val="22"/>
        </w:rPr>
        <w:t>现有工作记录未提供；本文件不补造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材料性质：</w:t>
      </w:r>
      <w:r>
        <w:rPr>
          <w:rFonts w:ascii="Calibri" w:hAnsi="Calibri" w:eastAsia="Microsoft YaHei"/>
          <w:sz w:val="22"/>
        </w:rPr>
        <w:t>教学模拟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生成日期：</w:t>
      </w:r>
      <w:r>
        <w:rPr>
          <w:rFonts w:ascii="Calibri" w:hAnsi="Calibri" w:eastAsia="Microsoft YaHei"/>
          <w:sz w:val="22"/>
        </w:rPr>
        <w:t>2026-07-23</w:t>
      </w:r>
    </w:p>
    <w:p/>
    <w:p>
      <w:r>
        <w:rPr>
          <w:rFonts w:ascii="Calibri" w:hAnsi="Calibri" w:eastAsia="Microsoft YaHei"/>
          <w:sz w:val="22"/>
        </w:rPr>
        <w:t>日期：2026-07-23 项目：明川银行 AI 反欺诈预警系统 变更来源：`07_管理层变更卡.pdf` 变更标识：CHG-01</w:t>
      </w:r>
    </w:p>
    <w:p>
      <w:pPr>
        <w:pStyle w:val="Heading2"/>
      </w:pPr>
      <w:r>
        <w:t>一、变更内容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项目预算由初始口径 800 万元调整为 650 万元。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项目总周期调整为 9 个月。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前 3 个月保持有限试点。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第 3 个月末设置门槛评审；未通过不得进入受控扩展。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除变更卡明确调整的内容外，其他业务事实不变。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供应商提出的效果数据不因预算和周期变化而调整，仍属于“供应商主张，尚未验证”。</w:t>
      </w:r>
    </w:p>
    <w:p>
      <w:pPr>
        <w:pStyle w:val="Heading2"/>
      </w:pPr>
      <w:r>
        <w:t>二、变更影响清单</w:t>
      </w:r>
    </w:p>
    <w:p>
      <w:pPr>
        <w:pStyle w:val="Heading3"/>
      </w:pPr>
      <w:r>
        <w:t>Word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执行摘要：预算、周期、有限试点和第 3 个月末门槛。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审批事项与项目边界：650 万元上限、9 个月总周期及受控扩展条件。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实施计划：重排为前 3 个月有限试点、第 3 个月末门槛评审、第 4—8 个月受控扩展、第 9 个月结项评审。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预算约束下的范围优先级：保留必要接口、规则并行、人工复核、日志审计和退出机制；非必要扩展另行决策。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风险与治理：明确预算和周期压缩不得压缩授权、人工复核、审计、监控和退出控制。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结论与建议：改为有条件批准 650 万元、9 个月受控试点，门槛未通过不得扩展。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事实依据表及变更记录：更新 F09、F10，并保留历史口径以便追溯。</w:t>
      </w:r>
    </w:p>
    <w:p>
      <w:pPr>
        <w:pStyle w:val="Heading3"/>
      </w:pPr>
      <w:r>
        <w:t>PPT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封面版本与变更标识。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实施路径图：调整为 9 个月四阶段路径，并突出第 3 个月末门槛。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投入与效果页：预算改为 650 万元、周期改为 9 个月；供应商效果数据保持原值并继续标注“尚未验证”。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评价框架页：增加第 3 个月末平衡指标、客户影响和治理门槛。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风险与治理页：强调预算与周期压缩不压缩控制。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决策页：统一为 650 万元、9 个月、前 3 个月有限试点、门槛通过后方可扩展。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证据边界页：增加 CHG-01 优先级说明，并明确其他事实不变。</w:t>
      </w:r>
    </w:p>
    <w:p>
      <w:pPr>
        <w:pStyle w:val="Heading3"/>
      </w:pPr>
      <w:r>
        <w:t>不受本次变更影响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项目名称与业务问题定义。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项目事实表中的交易量、损失、预警量、团队规模、审核时长、误报率、确认欺诈率等业务事实。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供应商提出的效果比例与情景测算值；这些数据仍为“尚未验证”。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AI 仅辅助排序和解释、规则并行、人工最终复核、授权、审计、监控及退出等控制原则。</w:t>
      </w:r>
    </w:p>
    <w:p>
      <w:pPr>
        <w:pStyle w:val="Heading2"/>
      </w:pPr>
      <w:r>
        <w:t>三、V1 留档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`明川银行_AI反欺诈预警系统_立项分析报告_V1.docx`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`明川银行_AI反欺诈预警系统_管理层决策汇报_V1.pptx`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`明川银行_AI反欺诈预警系统_立项分析报告_V1_初始口径留档.docx`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`明川银行_AI反欺诈预警系统_管理层决策汇报_V1_初始口径留档.pptx`</w:t>
      </w:r>
    </w:p>
    <w:p>
      <w:r>
        <w:rPr>
          <w:rFonts w:ascii="Calibri" w:hAnsi="Calibri" w:eastAsia="Microsoft YaHei"/>
          <w:sz w:val="22"/>
        </w:rPr>
        <w:t>PPT 原文件与留档副本 SHA-256 一致。Word 原文件在核验时被其他进程占用；其留档副本已在修改前单独保存，文件大小与时间戳与 V1 原文件一致。</w:t>
      </w:r>
    </w:p>
    <w:p>
      <w:pPr>
        <w:pStyle w:val="Heading2"/>
      </w:pPr>
      <w:r>
        <w:t>四、V2 文件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`明川银行_AI反欺诈预警系统_立项分析报告_V2.docx`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`明川银行_AI反欺诈预警系统_管理层决策汇报_V2.pptx`</w:t>
      </w:r>
    </w:p>
    <w:p>
      <w:pPr>
        <w:pStyle w:val="Heading2"/>
      </w:pPr>
      <w:r>
        <w:t>五、跨文件一致性核验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核验项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Word V2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PPT V2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项目名称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明川银行 AI 反欺诈预警系统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明川银行 AI 反欺诈预警系统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预算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650 万元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650 万元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周期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9 个月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9 个月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有限试点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前 3 个月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前 3 个月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扩展门槛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第 3 个月末；未通过不得扩展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第 3 个月末；未通过不得扩展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后续阶段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第 4—8 个月受控扩展；第 9 个月结项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第 4—8 个月受控扩展；第 9 个月结项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执行摘要/核心结论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有条件批准受控试点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有条件批准受控试点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核心业务事实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沿用项目事实表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管理层所需事实沿用项目事实表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供应商效果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原值保留，标注“尚未验证”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原值保留，标注“尚未验证”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风险控制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控制不随预算、周期压缩而削弱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控制不随预算、周期压缩而削弱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决策建议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650 万元、9 个月、门槛式推进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650 万元、9 个月、门槛式推进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sz w:val="22"/>
        </w:rPr>
        <w:t>旧口径扫描结果：PPT V2 未出现“800 万元”或“12 个月”；Word V2 中“800 万元”仅在变更追溯记录中作为历史值出现，不构成当前建议。</w:t>
      </w:r>
    </w:p>
    <w:p>
      <w:pPr>
        <w:pStyle w:val="Heading2"/>
      </w:pPr>
      <w:r>
        <w:t>六、图表与版式核验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PPT 共 8 页，逐页检查了封面、事实页、实施路径、投入与效果、评价门槛、风险治理、决策事项和证据边界。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实施路径图已更新为 9 个月四阶段安排；投入页已更新为 650 万元和 9 个月。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供应商效果比例及情景测算未随预算、周期调整而变化，相关位置仍标注“尚未验证”。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PPT 自动版面检查未发现越界或重叠，模板一致性检查通过。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Word 已完成内容抽取、章节结构和样式检查；未发现占位符或关键口径缺失。当前环境缺少可用的 LibreOffice 渲染组件，因此未生成 Word 页面图片，版式核验以结构检查为准。</w:t>
      </w:r>
    </w:p>
    <w:p>
      <w:pPr>
        <w:pStyle w:val="Heading2"/>
      </w:pPr>
      <w:r>
        <w:t>七、最终决策口径</w:t>
      </w:r>
    </w:p>
    <w:p>
      <w:r>
        <w:rPr>
          <w:rFonts w:ascii="Calibri" w:hAnsi="Calibri" w:eastAsia="Microsoft YaHei"/>
          <w:sz w:val="22"/>
        </w:rPr>
        <w:t>建议有条件批准 650 万元、9 个月受控试点；前 3 个月开展有限试点，第 3 个月末进行门槛评审，未通过不得扩展。该建议不构成供应商效果承诺，也不改变项目事实表中的其他业务事实。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G21｜实验1｜反欺诈项目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04_G21_实验1_变更影响与修改记录</dc:title>
  <dc:subject>G21 三次智能体实验提交物</dc:subject>
  <dc:creator>G21</dc:creator>
  <cp:keywords>教学模拟, 可追溯, 金融科技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