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20"/>
        </w:rPr>
        <w:t>实验1｜反欺诈项目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48"/>
        </w:rPr>
        <w:t>核验与反思</w:t>
      </w:r>
    </w:p>
    <w:p>
      <w:pPr>
        <w:spacing w:after="240"/>
      </w:pPr>
      <w:r>
        <w:rPr>
          <w:rFonts w:ascii="Calibri" w:hAnsi="Calibri" w:eastAsia="Microsoft YaHei"/>
          <w:color w:val="667085"/>
          <w:sz w:val="24"/>
        </w:rPr>
        <w:t>V2 Word/PPT一致性、证据边界与变更联动复盘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组号：</w:t>
      </w:r>
      <w:r>
        <w:rPr>
          <w:rFonts w:ascii="Calibri" w:hAnsi="Calibri" w:eastAsia="Microsoft YaHei"/>
          <w:sz w:val="22"/>
        </w:rPr>
        <w:t>G21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组员姓名与学号：</w:t>
      </w:r>
      <w:r>
        <w:rPr>
          <w:rFonts w:ascii="Calibri" w:hAnsi="Calibri" w:eastAsia="Microsoft YaHei"/>
          <w:sz w:val="22"/>
        </w:rPr>
        <w:t>现有工作记录未提供；本文件不补造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材料性质：</w:t>
      </w:r>
      <w:r>
        <w:rPr>
          <w:rFonts w:ascii="Calibri" w:hAnsi="Calibri" w:eastAsia="Microsoft YaHei"/>
          <w:sz w:val="22"/>
        </w:rPr>
        <w:t>教学模拟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生成日期：</w:t>
      </w:r>
      <w:r>
        <w:rPr>
          <w:rFonts w:ascii="Calibri" w:hAnsi="Calibri" w:eastAsia="Microsoft YaHei"/>
          <w:sz w:val="22"/>
        </w:rPr>
        <w:t>2026-07-23</w:t>
      </w:r>
    </w:p>
    <w:p/>
    <w:p>
      <w:r>
        <w:rPr>
          <w:rFonts w:ascii="Calibri" w:hAnsi="Calibri" w:eastAsia="Microsoft YaHei"/>
          <w:sz w:val="22"/>
        </w:rPr>
        <w:t>核验日期：2026年7月23日 核验范围：V2立项分析报告、V2管理层汇报、变更记录及参考材料 核验结论：P001—P013均已按台账所列依据完成修复并通过复测；修订后Word、PPT与参考材料之间未发现新增事实冲突。</w:t>
      </w:r>
    </w:p>
    <w:p>
      <w:pPr>
        <w:pStyle w:val="Heading2"/>
      </w:pPr>
      <w:r>
        <w:t>一、核验依据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《02_项目事实表.xlsx》：项目基础事实和核心数据的唯一口径。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《04_供应商方案摘要.pdf》：供应商效果主张及报价排除项。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《07_管理层变更卡.pdf》：CHG-01，预算调整为650万元、周期调整为9个月，并设置3个月试点及第3个月末门槛评审。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《05_Word立项报告模板.docx》与《06_管理层汇报模板.pptx》：材料结构、信息层级和证据边界要求。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《03_问题台账_诊断补充_V2.xlsx》：P001—P013的具体问题、位置、依据、风险和修复要求。</w:t>
      </w:r>
    </w:p>
    <w:p>
      <w:pPr>
        <w:pStyle w:val="Heading2"/>
      </w:pPr>
      <w:r>
        <w:t>二、交叉一致性核验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核验项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Word修订版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PPT修订版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依据与结论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项目名称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明川银行 AI 反欺诈预警系统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明川银行 AI 反欺诈预警系统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一致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预算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650万元，上限口径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650万元，上限口径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与CHG-01一致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周期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9个月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9个月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与CHG-01一致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实施阶段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含3个月试点，第3个月末门槛评审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以阶段路径和决策门槛单独呈现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一致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核心事实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年交易量1,200万笔、年度风险损失3,600万元、误报率62%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同口径呈现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与项目事实表一致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供应商效果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效率提升约30%、误报率45%—50%，均注明“供应商主张，尚未验证”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同口径并注明“尚未验证”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未将主张改写为事实或保证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收益情景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仅作为测算情景，不作为已验证收益或ROI结论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明确为非ROI的情景观察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未扩大结论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预算边界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披露5项未明确纳入成本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决策页及附录披露5项未明确纳入成本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一致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风险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数据、集成、模型、合规、成本边界与退出迁移风险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管理层决策相关风险和治理要求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重点一致，详略符合载体用途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决策建议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建议受控试点、门槛评审后再决定扩展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以审批事项和闸门条件支持管理层决策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一致</w:t>
            </w:r>
          </w:p>
        </w:tc>
      </w:tr>
    </w:tbl>
    <w:p>
      <w:pPr>
        <w:spacing w:after="0"/>
      </w:pPr>
    </w:p>
    <w:p>
      <w:pPr>
        <w:pStyle w:val="Heading2"/>
      </w:pPr>
      <w:r>
        <w:t>三、P009—P013专项复测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P009/P012：PPT已将“650万元预算”和“9个月周期”拆为对等、独立指标卡；周期说明包含“3个月试点”和“第3个月末门槛评审”。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P010：Word新增“预算边界与未纳入成本”，Word结论、PPT决策页及附录均披露银行内部人员、数据治理整改、长期运维、额外接口、退出迁移成本五项；明确650万元不自动覆盖这些持续性或额外成本。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P011：Word误报率表述已改为“45%—50%”，并标注“供应商主张，尚未验证；漏报变化与客户影响待确认”。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P013：PPT已恢复第8页“附录｜证据边界”，列明事实表、供应商摘要、CHG-01优先级和未纳入成本。</w:t>
      </w:r>
    </w:p>
    <w:p>
      <w:pPr>
        <w:pStyle w:val="Heading2"/>
      </w:pPr>
      <w:r>
        <w:t>四、技术与版式检查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PPT共8页；全页渲染检查无内容越界，模板版式一致性检查未发现异常。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Excel台账公式错误扫描为0；P001—P013均有具体复测结论，最终状态为“已关闭”。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Word完成结构、章节、表格、页边距及关键文本检查；自动化交叉核验未检出禁用口径或矛盾数字。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当前运行环境缺少LibreOffice/soffice，无法完成Word逐页渲染，因此Word视觉核验采用结构检查替代；这不影响文本和数据一致性结论，但正式提交前仍建议在Microsoft Word中进行一次分页目视检查。</w:t>
      </w:r>
    </w:p>
    <w:p>
      <w:pPr>
        <w:pStyle w:val="Heading2"/>
      </w:pPr>
      <w:r>
        <w:t>五、版本与保全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原始故障版Word、PPT、台账模板及既有诊断台账均未修改。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诊断补充台账V2保留P009—P013“未开始”和“第一阶段仅诊断；未修复，暂不复测”的阶段状态。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修复复测台账V3记录全部修复结果，便于追溯“问题—依据—修复—复测”的闭环。</w:t>
      </w:r>
    </w:p>
    <w:p>
      <w:pPr>
        <w:pStyle w:val="Heading2"/>
      </w:pPr>
      <w:r>
        <w:t>六、实验反思（100—200字）</w:t>
      </w:r>
    </w:p>
    <w:p>
      <w:r>
        <w:rPr>
          <w:rFonts w:ascii="Calibri" w:hAnsi="Calibri" w:eastAsia="Microsoft YaHei"/>
          <w:sz w:val="22"/>
        </w:rPr>
        <w:t>变更卡下发后，最容易踩的坑不是漏改封面，而是只替换预算和周期，却忘记同步实施阶段、指标卡、图表注释、执行摘要和决策边界。跨文档核对时，尤其容易漏掉历史值是否仍混在正文、预算卡是否吞掉周期信息，以及供应商效果是否被预算变化误带着调整。本次采用变更影响清单、旧口径扫描和Word—PPT逐项对照，证明修改只覆盖CHG-01明确事项，其他业务事实和未验证主张保持不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085"/>
        <w:sz w:val="18"/>
      </w:rPr>
      <w:t>G21｜实验1｜反欺诈项目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05_G21_实验1_核验与反思</dc:title>
  <dc:subject>G21 三次智能体实验提交物</dc:subject>
  <dc:creator>G21</dc:creator>
  <cp:keywords>教学模拟, 可追溯, 金融科技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