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960" w:after="240"/>
        <w:shd w:fill="F5F1EA"/>
        <w:pBdr>
          <w:left w:val="single" w:sz="20" w:space="8" w:color="9F2430"/>
        </w:pBdr>
      </w:pPr>
      <w:r>
        <w:t>实验一 · 立项分析报告</w:t>
      </w:r>
    </w:p>
    <w:p>
      <w:pPr>
        <w:spacing w:after="160"/>
      </w:pPr>
      <w:r>
        <w:t>明川银行 AI 反欺诈预警系统</w:t>
      </w:r>
    </w:p>
    <w:p>
      <w:pPr>
        <w:spacing w:after="440"/>
      </w:pPr>
      <w:r>
        <w:t>受控试点立项分析报告（修订版V1｜P001—P013复测版）</w:t>
      </w:r>
    </w:p>
    <w:p>
      <w:pPr>
        <w:spacing w:before="80" w:after="140"/>
        <w:ind w:left="113" w:right="85"/>
        <w:shd w:fill="F8EDEF"/>
        <w:pBdr>
          <w:left w:val="single" w:sz="20" w:space="8" w:color="9F2430"/>
        </w:pBdr>
      </w:pPr>
      <w:r>
        <w:rPr>
          <w:b/>
        </w:rPr>
        <w:t xml:space="preserve">口径说明　</w:t>
      </w:r>
      <w:r>
        <w:t>本文所有数字均以《项目事实表》为准；供应商提出的效果均标注“供应商主张，尚未验证”。</w:t>
      </w:r>
    </w:p>
    <w:p>
      <w:pPr>
        <w:pStyle w:val="Heading1"/>
      </w:pPr>
      <w:r>
        <w:t>执行摘要</w:t>
      </w:r>
    </w:p>
    <w:p>
      <w:pPr>
        <w:spacing w:after="160"/>
      </w:pPr>
      <w:r>
        <w:t>建议按CHG-01有条件批准受控试点，不批准直接全面上线。项目预算上限为650万元，总周期为9个月，前3个月开展有限试点并在第3个月末设置是否扩展的决策门槛；全程保留现有规则并行和人工最终复核。</w:t>
      </w:r>
    </w:p>
    <w:p>
      <w:pPr>
        <w:spacing w:after="160"/>
      </w:pPr>
      <w:r>
        <w:t>管理层需明确批准以下事项：</w:t>
      </w:r>
    </w:p>
    <w:p>
      <w:pPr>
        <w:pStyle w:val="ListBullet"/>
      </w:pPr>
      <w:r>
        <w:t>批准受控试点范围、650万元预算上限和9个月总周期。</w:t>
      </w:r>
    </w:p>
    <w:p>
      <w:pPr>
        <w:pStyle w:val="ListBullet"/>
      </w:pPr>
      <w:r>
        <w:t>批准“模型仅辅助排序与解释、人工保留最终处置权”的业务边界。</w:t>
      </w:r>
    </w:p>
    <w:p>
      <w:pPr>
        <w:pStyle w:val="ListBullet"/>
      </w:pPr>
      <w:r>
        <w:t>授权在合规确认用途、范围和保存期限后开展数据准备与历史回放。</w:t>
      </w:r>
    </w:p>
    <w:p>
      <w:pPr>
        <w:pStyle w:val="ListBullet"/>
      </w:pPr>
      <w:r>
        <w:t>批准前3个月有限试点及第3个月末扩展门槛；未满足数据、接口、治理或平衡指标要求时整改、暂停或退出。</w:t>
      </w:r>
    </w:p>
    <w:p>
      <w:pPr>
        <w:pStyle w:val="Heading1"/>
      </w:pPr>
      <w:r>
        <w:t>一、背景与业务痛点</w:t>
      </w:r>
    </w:p>
    <w:p>
      <w:pPr>
        <w:spacing w:after="160"/>
      </w:pPr>
      <w:r>
        <w:t>明川银行年交易量为1,200万笔，当前规则年产生18,000笔预警，年确认欺诈2,400笔，年直接欺诈损失3,600万元。当前误报率为62%，28人审核团队平均每笔审核18分钟。</w:t>
      </w:r>
    </w:p>
    <w:p>
      <w:pPr>
        <w:spacing w:after="160"/>
      </w:pPr>
      <w:r>
        <w:t>按事实表公式推导，确认欺诈率为13.3%，估算年人工审核工时为5,400小时，估算年误报量为11,160笔。这些指标用于刻画现状，不等同于模型可实现的改善，也不构成投资回报预测。其中62%误报率与13.3%确认欺诈率的统计口径关系需要业务进一步确认，本报告不自行调整任一数值。</w:t>
      </w:r>
    </w:p>
    <w:p>
      <w:pPr>
        <w:pStyle w:val="Heading1"/>
      </w:pPr>
      <w:r>
        <w:t>二、建设目标与成功标准</w:t>
      </w:r>
    </w:p>
    <w:p>
      <w:pPr>
        <w:spacing w:after="160"/>
      </w:pPr>
      <w:r>
        <w:t>业务目标是提升预警处置的优先级质量、解释可用性和案件处理效率；试点目标是形成可复算、可对照、可审计的证据，判断是否具备继续扩展条件。</w:t>
      </w:r>
    </w:p>
    <w:p>
      <w:pPr>
        <w:spacing w:after="160"/>
      </w:pPr>
      <w:r>
        <w:t>成功标准采用成组指标，不以单一拦截量或单一误报指标判断：</w:t>
      </w:r>
    </w:p>
    <w:p>
      <w:pPr>
        <w:pStyle w:val="ListBullet"/>
      </w:pPr>
      <w:r>
        <w:t>欺诈损失：比较相同口径下的直接欺诈损失，当前基线为3,600万元/年。</w:t>
      </w:r>
    </w:p>
    <w:p>
      <w:pPr>
        <w:pStyle w:val="ListBullet"/>
      </w:pPr>
      <w:r>
        <w:t>误报：当前基线为62%；同时检查正常交易受阻和客户投诉。</w:t>
      </w:r>
    </w:p>
    <w:p>
      <w:pPr>
        <w:pStyle w:val="ListBullet"/>
      </w:pPr>
      <w:r>
        <w:t>漏报：正式基线、容忍边界和停止条件待风控与模型风险共同确认。</w:t>
      </w:r>
    </w:p>
    <w:p>
      <w:pPr>
        <w:pStyle w:val="ListBullet"/>
      </w:pPr>
      <w:r>
        <w:t>审核效率：当前平均18分钟/笔、估算年审核工时5,400小时；需同时验证审核质量。</w:t>
      </w:r>
    </w:p>
    <w:p>
      <w:pPr>
        <w:pStyle w:val="ListBullet"/>
      </w:pPr>
      <w:r>
        <w:t>客户影响：投诉、升级与争议处理基线及响应要求待客户运营确认。</w:t>
      </w:r>
    </w:p>
    <w:p>
      <w:pPr>
        <w:pStyle w:val="Heading1"/>
      </w:pPr>
      <w:r>
        <w:t>三、试点范围与方案</w:t>
      </w:r>
    </w:p>
    <w:p>
      <w:pPr>
        <w:spacing w:after="160"/>
      </w:pPr>
      <w:r>
        <w:t>试点覆盖银行卡及线上支付交易的风险预警排序与辅助分析。系统输出限于风险评分、理由提示、案件摘要和优先级；不直接作出最终拦截，不承担客户通知、争议处理或合规责任。</w:t>
      </w:r>
    </w:p>
    <w:p>
      <w:pPr>
        <w:spacing w:after="160"/>
      </w:pPr>
      <w:r>
        <w:t>建议的受控边界包括：</w:t>
      </w:r>
    </w:p>
    <w:p>
      <w:pPr>
        <w:pStyle w:val="ListBullet"/>
      </w:pPr>
      <w:r>
        <w:t>先进行历史数据盘点和批量回放，再接入有限实时流量。</w:t>
      </w:r>
    </w:p>
    <w:p>
      <w:pPr>
        <w:pStyle w:val="ListBullet"/>
      </w:pPr>
      <w:r>
        <w:t>全程保留现有规则与人工复核，重要处置由银行人员确认。</w:t>
      </w:r>
    </w:p>
    <w:p>
      <w:pPr>
        <w:pStyle w:val="ListBullet"/>
      </w:pPr>
      <w:r>
        <w:t>数据遵循用途限定、最小必要、权限控制和保存期限要求。</w:t>
      </w:r>
    </w:p>
    <w:p>
      <w:pPr>
        <w:pStyle w:val="ListBullet"/>
      </w:pPr>
      <w:r>
        <w:t>供应商所述风险评分、理由提示、案件工作台和监控能力均需在银行环境中核实。</w:t>
      </w:r>
    </w:p>
    <w:p>
      <w:pPr>
        <w:pStyle w:val="Heading1"/>
      </w:pPr>
      <w:r>
        <w:t>四、实施计划与责任</w:t>
      </w:r>
    </w:p>
    <w:p>
      <w:pPr>
        <w:spacing w:after="160"/>
      </w:pPr>
      <w:r>
        <w:t>CHG-01将总周期压缩为9个月，并保留前3个月有限试点。项目以交付物、证据和停止条件作为推进门槛，第3个月末未通过评审不得进入受控扩展。</w:t>
      </w:r>
    </w:p>
    <w:p>
      <w:pPr>
        <w:spacing w:after="160"/>
      </w:pPr>
      <w:r>
        <w:t>只有当前一阶段的合规、数据、技术和业务验收条件满足后，才能进入下一阶段。</w:t>
      </w:r>
    </w:p>
    <w:tbl>
      <w:tblPr>
        <w:tblStyle w:val="TableGrid"/>
        <w:tblW w:type="dxa" w:w="9745"/>
        <w:jc w:val="left"/>
        <w:tblLayout w:type="autofit"/>
        <w:tblLook w:firstColumn="1" w:firstRow="1" w:lastColumn="0" w:lastRow="0" w:noHBand="0" w:noVBand="1" w:val="04A0"/>
        <w:tblInd w:w="120" w:type="dxa"/>
        <w:tblBorders>
          <w:top w:val="single" w:sz="6" w:space="0" w:color="D6D0C7"/>
          <w:left w:val="single" w:sz="6" w:space="0" w:color="D6D0C7"/>
          <w:bottom w:val="single" w:sz="6" w:space="0" w:color="D6D0C7"/>
          <w:right w:val="single" w:sz="6" w:space="0" w:color="D6D0C7"/>
          <w:insideH w:val="single" w:sz="6" w:space="0" w:color="D6D0C7"/>
          <w:insideV w:val="single" w:sz="6" w:space="0" w:color="D6D0C7"/>
        </w:tblBorders>
      </w:tblPr>
      <w:tblGrid>
        <w:gridCol w:w="1500"/>
        <w:gridCol w:w="3500"/>
        <w:gridCol w:w="1800"/>
        <w:gridCol w:w="2945"/>
      </w:tblGrid>
      <w:tr>
        <w:trPr>
          <w:tblHeader w:val="true"/>
          <w:tblHeader w:val="true"/>
        </w:trPr>
        <w:tc>
          <w:tcPr>
            <w:tcW w:type="dxa" w:w="1500"/>
            <w:shd w:fill="9F2430"/>
            <w:vAlign w:val="center"/>
            <w:tcMar>
              <w:top w:w="90" w:type="dxa"/>
              <w:start w:w="120" w:type="dxa"/>
              <w:bottom w:w="90" w:type="dxa"/>
              <w:end w:w="120" w:type="dxa"/>
              <w:left w:w="90" w:type="dxa"/>
              <w:right w:w="9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/>
                <w:color w:val="FFFFFF"/>
                <w:sz w:val="18"/>
              </w:rPr>
              <w:t>阶段</w:t>
            </w:r>
          </w:p>
        </w:tc>
        <w:tc>
          <w:tcPr>
            <w:tcW w:type="dxa" w:w="3500"/>
            <w:shd w:fill="9F2430"/>
            <w:vAlign w:val="center"/>
            <w:tcMar>
              <w:top w:w="90" w:type="dxa"/>
              <w:start w:w="120" w:type="dxa"/>
              <w:bottom w:w="90" w:type="dxa"/>
              <w:end w:w="120" w:type="dxa"/>
              <w:left w:w="90" w:type="dxa"/>
              <w:right w:w="9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/>
                <w:color w:val="FFFFFF"/>
                <w:sz w:val="18"/>
              </w:rPr>
              <w:t>主要任务</w:t>
            </w:r>
          </w:p>
        </w:tc>
        <w:tc>
          <w:tcPr>
            <w:tcW w:type="dxa" w:w="1800"/>
            <w:shd w:fill="9F2430"/>
            <w:vAlign w:val="center"/>
            <w:tcMar>
              <w:top w:w="90" w:type="dxa"/>
              <w:start w:w="120" w:type="dxa"/>
              <w:bottom w:w="90" w:type="dxa"/>
              <w:end w:w="120" w:type="dxa"/>
              <w:left w:w="90" w:type="dxa"/>
              <w:right w:w="9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/>
                <w:color w:val="FFFFFF"/>
                <w:sz w:val="18"/>
              </w:rPr>
              <w:t>责任方</w:t>
            </w:r>
          </w:p>
        </w:tc>
        <w:tc>
          <w:tcPr>
            <w:tcW w:type="dxa" w:w="2945"/>
            <w:shd w:fill="9F2430"/>
            <w:vAlign w:val="center"/>
            <w:tcMar>
              <w:top w:w="90" w:type="dxa"/>
              <w:start w:w="120" w:type="dxa"/>
              <w:bottom w:w="90" w:type="dxa"/>
              <w:end w:w="120" w:type="dxa"/>
              <w:left w:w="90" w:type="dxa"/>
              <w:right w:w="9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/>
                <w:color w:val="FFFFFF"/>
                <w:sz w:val="18"/>
              </w:rPr>
              <w:t>验收条件</w:t>
            </w:r>
          </w:p>
        </w:tc>
      </w:tr>
      <w:tr>
        <w:tc>
          <w:tcPr>
            <w:tcW w:type="dxa" w:w="150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第1—3个月：有限试点</w:t>
            </w:r>
          </w:p>
        </w:tc>
        <w:tc>
          <w:tcPr>
            <w:tcW w:type="dxa" w:w="350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确认授权与保存期限；复算基线；历史回放；接入有限实时流量；规则并行与人工复核</w:t>
            </w:r>
          </w:p>
        </w:tc>
        <w:tc>
          <w:tcPr>
            <w:tcW w:type="dxa" w:w="180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合规/数据治理/IT/风控</w:t>
            </w:r>
          </w:p>
        </w:tc>
        <w:tc>
          <w:tcPr>
            <w:tcW w:type="dxa" w:w="294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结果可复算；误报与漏报同时报告；审计轨迹完整；客户影响可监控</w:t>
            </w:r>
          </w:p>
        </w:tc>
      </w:tr>
      <w:tr>
        <w:tc>
          <w:tcPr>
            <w:tcW w:type="dxa" w:w="150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第3个月末：门槛评审</w:t>
            </w:r>
          </w:p>
        </w:tc>
        <w:tc>
          <w:tcPr>
            <w:tcW w:type="dxa" w:w="350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汇总平衡指标、数据与接口问题、客户影响和风险事件</w:t>
            </w:r>
          </w:p>
        </w:tc>
        <w:tc>
          <w:tcPr>
            <w:tcW w:type="dxa" w:w="180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项目管理层/风控/合规/IT</w:t>
            </w:r>
          </w:p>
        </w:tc>
        <w:tc>
          <w:tcPr>
            <w:tcW w:type="dxa" w:w="294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形成继续、整改、暂停或退出决定；未通过不得扩展</w:t>
            </w:r>
          </w:p>
        </w:tc>
      </w:tr>
      <w:tr>
        <w:tc>
          <w:tcPr>
            <w:tcW w:type="dxa" w:w="150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第4—8个月：受控扩展</w:t>
            </w:r>
          </w:p>
        </w:tc>
        <w:tc>
          <w:tcPr>
            <w:tcW w:type="dxa" w:w="350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仅在门槛通过后扩大经批准的场景和流量；持续监控模型、日志与客户影响</w:t>
            </w:r>
          </w:p>
        </w:tc>
        <w:tc>
          <w:tcPr>
            <w:tcW w:type="dxa" w:w="180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风控/客户运营/IT/模型风险</w:t>
            </w:r>
          </w:p>
        </w:tc>
        <w:tc>
          <w:tcPr>
            <w:tcW w:type="dxa" w:w="294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运行稳定；风险未越界；重大异常可升级并触发停用</w:t>
            </w:r>
          </w:p>
        </w:tc>
      </w:tr>
      <w:tr>
        <w:tc>
          <w:tcPr>
            <w:tcW w:type="dxa" w:w="150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第9个月：结项评审</w:t>
            </w:r>
          </w:p>
        </w:tc>
        <w:tc>
          <w:tcPr>
            <w:tcW w:type="dxa" w:w="350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汇总效果、风险、成本边界与退出准备，形成下一阶段建议</w:t>
            </w:r>
          </w:p>
        </w:tc>
        <w:tc>
          <w:tcPr>
            <w:tcW w:type="dxa" w:w="180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项目管理层/采购/各责任方</w:t>
            </w:r>
          </w:p>
        </w:tc>
        <w:tc>
          <w:tcPr>
            <w:tcW w:type="dxa" w:w="294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形成继续、整改、暂停或退出的证据化建议；扩展另行决策</w:t>
            </w:r>
          </w:p>
        </w:tc>
      </w:tr>
    </w:tbl>
    <w:p>
      <w:pPr>
        <w:spacing w:after="20"/>
      </w:pPr>
    </w:p>
    <w:p>
      <w:pPr>
        <w:pStyle w:val="Heading1"/>
      </w:pPr>
      <w:r>
        <w:t>五、预算与预期价值</w:t>
      </w:r>
    </w:p>
    <w:p>
      <w:pPr>
        <w:spacing w:after="160"/>
      </w:pPr>
      <w:r>
        <w:t>CHG-01将预算上限调整为650万元。预算约束下优先保留前3个月有限试点、风险排序与理由提示、必要接口、规则并行、人工复核、权限日志、监控审计和退出机制；未经验证的场景扩张、非必要额外接口、大范围实时流量和长期优化应在门槛后另行批准。</w:t>
      </w:r>
    </w:p>
    <w:p>
      <w:pPr>
        <w:pStyle w:val="Heading2"/>
      </w:pPr>
      <w:r>
        <w:t>预算边界与未纳入成本</w:t>
      </w:r>
    </w:p>
    <w:p>
      <w:pPr>
        <w:pStyle w:val="ListBullet"/>
      </w:pPr>
      <w:r>
        <w:t>银行内部人员投入：供应商初版报价未明确包括。</w:t>
      </w:r>
    </w:p>
    <w:p>
      <w:pPr>
        <w:pStyle w:val="ListBullet"/>
      </w:pPr>
      <w:r>
        <w:t>数据治理整改：数据授权、质量和历史标签整改成本未明确包括。</w:t>
      </w:r>
    </w:p>
    <w:p>
      <w:pPr>
        <w:pStyle w:val="ListBullet"/>
      </w:pPr>
      <w:r>
        <w:t>长期运维：项目期后的模型、平台和监控运维成本未明确包括。</w:t>
      </w:r>
    </w:p>
    <w:p>
      <w:pPr>
        <w:pStyle w:val="ListBullet"/>
      </w:pPr>
      <w:r>
        <w:t>额外接口：超出初版范围的新增接口及改造成本未明确包括。</w:t>
      </w:r>
    </w:p>
    <w:p>
      <w:pPr>
        <w:pStyle w:val="ListBullet"/>
      </w:pPr>
      <w:r>
        <w:t>退出迁移：数据、模型、接口和运行交接的退出迁移成本未明确包括。</w:t>
      </w:r>
    </w:p>
    <w:p>
      <w:r>
        <w:t>本次650万元批准上限不自动覆盖上述5项成本；只有合同和内部预算明确纳入后，才能计入项目总成本或ROI测算。</w:t>
      </w:r>
    </w:p>
    <w:p>
      <w:pPr>
        <w:spacing w:after="160"/>
      </w:pPr>
      <w:r>
        <w:t>供应商声称欺诈损失可下降25%—35%（供应商主张，尚未验证）。事实表将该主张机械作用于当前直接损失，得到900万—1,260万元的情景值；该情景值不是预测、承诺或ROI，且尚未扣除项目成本、内部投入和其他影响。</w:t>
      </w:r>
    </w:p>
    <w:p>
      <w:r>
        <w:t>供应商另行主张审核效率提升30%、误报率降至45%—50%（供应商主张，尚未验证）。效率口径、人员重配和质量约束尚未明确；漏报变化与客户影响待确认，不得把区间最好端改写为确定上限保证。</w:t>
      </w:r>
    </w:p>
    <w:p>
      <w:pPr>
        <w:pStyle w:val="Heading1"/>
      </w:pPr>
      <w:r>
        <w:t>六、风险与治理</w:t>
      </w:r>
    </w:p>
    <w:p>
      <w:pPr>
        <w:spacing w:after="160"/>
      </w:pPr>
      <w:r>
        <w:t>风险治理以人工控制、可追溯记录、持续监控和可退出为核心。事实表列出8项主要风险，其中数据隐私、误报、漏报、解释不足、审计轨迹和客户争议处理为高优先级。预算与周期压缩不得削弱授权、数据质量、解释、审计或退出控制。</w:t>
      </w:r>
    </w:p>
    <w:p>
      <w:pPr>
        <w:spacing w:after="160"/>
      </w:pPr>
      <w:r>
        <w:t>控制措施必须落实到责任方、监控方式和停止条件；供应商不能替代银行承担最终处置、客户沟通或合规责任。</w:t>
      </w:r>
    </w:p>
    <w:tbl>
      <w:tblPr>
        <w:tblStyle w:val="TableGrid"/>
        <w:tblW w:type="dxa" w:w="9745"/>
        <w:jc w:val="left"/>
        <w:tblLayout w:type="autofit"/>
        <w:tblLook w:firstColumn="1" w:firstRow="1" w:lastColumn="0" w:lastRow="0" w:noHBand="0" w:noVBand="1" w:val="04A0"/>
        <w:tblInd w:w="120" w:type="dxa"/>
        <w:tblBorders>
          <w:top w:val="single" w:sz="6" w:space="0" w:color="D6D0C7"/>
          <w:left w:val="single" w:sz="6" w:space="0" w:color="D6D0C7"/>
          <w:bottom w:val="single" w:sz="6" w:space="0" w:color="D6D0C7"/>
          <w:right w:val="single" w:sz="6" w:space="0" w:color="D6D0C7"/>
          <w:insideH w:val="single" w:sz="6" w:space="0" w:color="D6D0C7"/>
          <w:insideV w:val="single" w:sz="6" w:space="0" w:color="D6D0C7"/>
        </w:tblBorders>
      </w:tblPr>
      <w:tblGrid>
        <w:gridCol w:w="2000"/>
        <w:gridCol w:w="2600"/>
        <w:gridCol w:w="3300"/>
        <w:gridCol w:w="1845"/>
      </w:tblGrid>
      <w:tr>
        <w:trPr>
          <w:tblHeader w:val="true"/>
          <w:tblHeader w:val="true"/>
        </w:trPr>
        <w:tc>
          <w:tcPr>
            <w:tcW w:type="dxa" w:w="2000"/>
            <w:shd w:fill="9F2430"/>
            <w:vAlign w:val="center"/>
            <w:tcMar>
              <w:top w:w="90" w:type="dxa"/>
              <w:start w:w="120" w:type="dxa"/>
              <w:bottom w:w="90" w:type="dxa"/>
              <w:end w:w="120" w:type="dxa"/>
              <w:left w:w="90" w:type="dxa"/>
              <w:right w:w="9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/>
                <w:color w:val="FFFFFF"/>
                <w:sz w:val="18"/>
              </w:rPr>
              <w:t>风险</w:t>
            </w:r>
          </w:p>
        </w:tc>
        <w:tc>
          <w:tcPr>
            <w:tcW w:type="dxa" w:w="2600"/>
            <w:shd w:fill="9F2430"/>
            <w:vAlign w:val="center"/>
            <w:tcMar>
              <w:top w:w="90" w:type="dxa"/>
              <w:start w:w="120" w:type="dxa"/>
              <w:bottom w:w="90" w:type="dxa"/>
              <w:end w:w="120" w:type="dxa"/>
              <w:left w:w="90" w:type="dxa"/>
              <w:right w:w="9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/>
                <w:color w:val="FFFFFF"/>
                <w:sz w:val="18"/>
              </w:rPr>
              <w:t>可能影响</w:t>
            </w:r>
          </w:p>
        </w:tc>
        <w:tc>
          <w:tcPr>
            <w:tcW w:type="dxa" w:w="3300"/>
            <w:shd w:fill="9F2430"/>
            <w:vAlign w:val="center"/>
            <w:tcMar>
              <w:top w:w="90" w:type="dxa"/>
              <w:start w:w="120" w:type="dxa"/>
              <w:bottom w:w="90" w:type="dxa"/>
              <w:end w:w="120" w:type="dxa"/>
              <w:left w:w="90" w:type="dxa"/>
              <w:right w:w="9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/>
                <w:color w:val="FFFFFF"/>
                <w:sz w:val="18"/>
              </w:rPr>
              <w:t>控制措施</w:t>
            </w:r>
          </w:p>
        </w:tc>
        <w:tc>
          <w:tcPr>
            <w:tcW w:type="dxa" w:w="1845"/>
            <w:shd w:fill="9F2430"/>
            <w:vAlign w:val="center"/>
            <w:tcMar>
              <w:top w:w="90" w:type="dxa"/>
              <w:start w:w="120" w:type="dxa"/>
              <w:bottom w:w="90" w:type="dxa"/>
              <w:end w:w="120" w:type="dxa"/>
              <w:left w:w="90" w:type="dxa"/>
              <w:right w:w="9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/>
                <w:color w:val="FFFFFF"/>
                <w:sz w:val="18"/>
              </w:rPr>
              <w:t>责任方</w:t>
            </w:r>
          </w:p>
        </w:tc>
      </w:tr>
      <w:tr>
        <w:tc>
          <w:tcPr>
            <w:tcW w:type="dxa" w:w="200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数据隐私与用途扩张（高）</w:t>
            </w:r>
          </w:p>
        </w:tc>
        <w:tc>
          <w:tcPr>
            <w:tcW w:type="dxa" w:w="260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合规与客户信任风险</w:t>
            </w:r>
          </w:p>
        </w:tc>
        <w:tc>
          <w:tcPr>
            <w:tcW w:type="dxa" w:w="330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最小必要、用途限定、权限与日志</w:t>
            </w:r>
          </w:p>
        </w:tc>
        <w:tc>
          <w:tcPr>
            <w:tcW w:type="dxa" w:w="184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合规/数据治理</w:t>
            </w:r>
          </w:p>
        </w:tc>
      </w:tr>
      <w:tr>
        <w:tc>
          <w:tcPr>
            <w:tcW w:type="dxa" w:w="200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误报（高）</w:t>
            </w:r>
          </w:p>
        </w:tc>
        <w:tc>
          <w:tcPr>
            <w:tcW w:type="dxa" w:w="260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正常交易受阻、投诉增加</w:t>
            </w:r>
          </w:p>
        </w:tc>
        <w:tc>
          <w:tcPr>
            <w:tcW w:type="dxa" w:w="330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人工复核、投诉升级、停用阈值</w:t>
            </w:r>
          </w:p>
        </w:tc>
        <w:tc>
          <w:tcPr>
            <w:tcW w:type="dxa" w:w="184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风控/客户运营</w:t>
            </w:r>
          </w:p>
        </w:tc>
      </w:tr>
      <w:tr>
        <w:tc>
          <w:tcPr>
            <w:tcW w:type="dxa" w:w="200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漏报（高）</w:t>
            </w:r>
          </w:p>
        </w:tc>
        <w:tc>
          <w:tcPr>
            <w:tcW w:type="dxa" w:w="260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欺诈损失与责任风险</w:t>
            </w:r>
          </w:p>
        </w:tc>
        <w:tc>
          <w:tcPr>
            <w:tcW w:type="dxa" w:w="330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与规则并行、案件回溯、模型监控</w:t>
            </w:r>
          </w:p>
        </w:tc>
        <w:tc>
          <w:tcPr>
            <w:tcW w:type="dxa" w:w="184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风控/模型风险</w:t>
            </w:r>
          </w:p>
        </w:tc>
      </w:tr>
      <w:tr>
        <w:tc>
          <w:tcPr>
            <w:tcW w:type="dxa" w:w="200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解释不足（高）</w:t>
            </w:r>
          </w:p>
        </w:tc>
        <w:tc>
          <w:tcPr>
            <w:tcW w:type="dxa" w:w="260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审核人员盲从或拒用</w:t>
            </w:r>
          </w:p>
        </w:tc>
        <w:tc>
          <w:tcPr>
            <w:tcW w:type="dxa" w:w="330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理由码、人工复核、抽样审计</w:t>
            </w:r>
          </w:p>
        </w:tc>
        <w:tc>
          <w:tcPr>
            <w:tcW w:type="dxa" w:w="184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模型风险/风控</w:t>
            </w:r>
          </w:p>
        </w:tc>
      </w:tr>
      <w:tr>
        <w:tc>
          <w:tcPr>
            <w:tcW w:type="dxa" w:w="200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模型漂移（中）</w:t>
            </w:r>
          </w:p>
        </w:tc>
        <w:tc>
          <w:tcPr>
            <w:tcW w:type="dxa" w:w="260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效果衰减</w:t>
            </w:r>
          </w:p>
        </w:tc>
        <w:tc>
          <w:tcPr>
            <w:tcW w:type="dxa" w:w="330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漂移监控、版本记录、定期复评</w:t>
            </w:r>
          </w:p>
        </w:tc>
        <w:tc>
          <w:tcPr>
            <w:tcW w:type="dxa" w:w="184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IT/模型风险</w:t>
            </w:r>
          </w:p>
        </w:tc>
      </w:tr>
      <w:tr>
        <w:tc>
          <w:tcPr>
            <w:tcW w:type="dxa" w:w="200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审计轨迹不完整（高）</w:t>
            </w:r>
          </w:p>
        </w:tc>
        <w:tc>
          <w:tcPr>
            <w:tcW w:type="dxa" w:w="260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无法复盘与追责</w:t>
            </w:r>
          </w:p>
        </w:tc>
        <w:tc>
          <w:tcPr>
            <w:tcW w:type="dxa" w:w="330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保存输入、输出、版本与人工处置</w:t>
            </w:r>
          </w:p>
        </w:tc>
        <w:tc>
          <w:tcPr>
            <w:tcW w:type="dxa" w:w="184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IT/合规</w:t>
            </w:r>
          </w:p>
        </w:tc>
      </w:tr>
      <w:tr>
        <w:tc>
          <w:tcPr>
            <w:tcW w:type="dxa" w:w="200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供应商依赖（中）</w:t>
            </w:r>
          </w:p>
        </w:tc>
        <w:tc>
          <w:tcPr>
            <w:tcW w:type="dxa" w:w="260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成本上升、退出困难</w:t>
            </w:r>
          </w:p>
        </w:tc>
        <w:tc>
          <w:tcPr>
            <w:tcW w:type="dxa" w:w="330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迁移与退出条款、开放接口、交付验收</w:t>
            </w:r>
          </w:p>
        </w:tc>
        <w:tc>
          <w:tcPr>
            <w:tcW w:type="dxa" w:w="184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采购/IT</w:t>
            </w:r>
          </w:p>
        </w:tc>
      </w:tr>
      <w:tr>
        <w:tc>
          <w:tcPr>
            <w:tcW w:type="dxa" w:w="200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客户争议处理不足（高）</w:t>
            </w:r>
          </w:p>
        </w:tc>
        <w:tc>
          <w:tcPr>
            <w:tcW w:type="dxa" w:w="260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投诉与声誉风险</w:t>
            </w:r>
          </w:p>
        </w:tc>
        <w:tc>
          <w:tcPr>
            <w:tcW w:type="dxa" w:w="330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客服话术、升级路径、响应时限</w:t>
            </w:r>
          </w:p>
        </w:tc>
        <w:tc>
          <w:tcPr>
            <w:tcW w:type="dxa" w:w="184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客户运营/合规</w:t>
            </w:r>
          </w:p>
        </w:tc>
      </w:tr>
    </w:tbl>
    <w:p>
      <w:pPr>
        <w:spacing w:after="20"/>
      </w:pPr>
    </w:p>
    <w:p>
      <w:pPr>
        <w:pStyle w:val="Heading1"/>
      </w:pPr>
      <w:r>
        <w:t>七、结论与决策建议</w:t>
      </w:r>
    </w:p>
    <w:p>
      <w:pPr>
        <w:spacing w:after="160"/>
      </w:pPr>
      <w:r>
        <w:t>结论：现有业务规模、误报和人工审核压力支持进入受控验证，但现有材料不足以证明AI效果或财务回报。因此建议按650万元预算上限和9个月总周期有条件批准受控试点，前3个月开展有限试点，并把数据授权、接口可用性、基线复算、审计轨迹和退出机制作为开工前置条件。 本次650万元批准上限不自动覆盖银行内部人员、数据治理整改、长期运维、额外接口及退出迁移成本。</w:t>
      </w:r>
    </w:p>
    <w:p>
      <w:pPr>
        <w:spacing w:after="160"/>
      </w:pPr>
      <w:r>
        <w:t>第3个月末的扩展决策不得被表述为全面上线承诺。扩展应以平衡指标、客户影响、风险控制和可退出性证据为依据；若漏报、客户影响、合规或审计风险超出批准边界，应暂停或回退至现有规则。</w:t>
      </w:r>
    </w:p>
    <w:p>
      <w:pPr>
        <w:pStyle w:val="Heading1"/>
      </w:pPr>
      <w:r>
        <w:t>附录A：证据与口径</w:t>
      </w:r>
    </w:p>
    <w:p>
      <w:pPr>
        <w:spacing w:after="160"/>
      </w:pPr>
      <w:r>
        <w:t>证据优先级：管理层变更卡＞正式事实表当前行＞访谈观点＞供应商主张。事实表中的口径说明和公式推导用于复算；访谈用于解释业务需求，不替代正式数字。</w:t>
      </w:r>
    </w:p>
    <w:tbl>
      <w:tblPr>
        <w:tblStyle w:val="TableGrid"/>
        <w:tblW w:type="dxa" w:w="9745"/>
        <w:jc w:val="left"/>
        <w:tblLayout w:type="autofit"/>
        <w:tblLook w:firstColumn="1" w:firstRow="1" w:lastColumn="0" w:lastRow="0" w:noHBand="0" w:noVBand="1" w:val="04A0"/>
        <w:tblInd w:w="120" w:type="dxa"/>
        <w:tblBorders>
          <w:top w:val="single" w:sz="6" w:space="0" w:color="D6D0C7"/>
          <w:left w:val="single" w:sz="6" w:space="0" w:color="D6D0C7"/>
          <w:bottom w:val="single" w:sz="6" w:space="0" w:color="D6D0C7"/>
          <w:right w:val="single" w:sz="6" w:space="0" w:color="D6D0C7"/>
          <w:insideH w:val="single" w:sz="6" w:space="0" w:color="D6D0C7"/>
          <w:insideV w:val="single" w:sz="6" w:space="0" w:color="D6D0C7"/>
        </w:tblBorders>
      </w:tblPr>
      <w:tblGrid>
        <w:gridCol w:w="2400"/>
        <w:gridCol w:w="1700"/>
        <w:gridCol w:w="3300"/>
        <w:gridCol w:w="2345"/>
      </w:tblGrid>
      <w:tr>
        <w:trPr>
          <w:tblHeader w:val="true"/>
          <w:tblHeader w:val="true"/>
        </w:trPr>
        <w:tc>
          <w:tcPr>
            <w:tcW w:type="dxa" w:w="2400"/>
            <w:shd w:fill="9F2430"/>
            <w:vAlign w:val="center"/>
            <w:tcMar>
              <w:top w:w="90" w:type="dxa"/>
              <w:start w:w="120" w:type="dxa"/>
              <w:bottom w:w="90" w:type="dxa"/>
              <w:end w:w="120" w:type="dxa"/>
              <w:left w:w="90" w:type="dxa"/>
              <w:right w:w="9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/>
                <w:color w:val="FFFFFF"/>
                <w:sz w:val="18"/>
              </w:rPr>
              <w:t>数据/结论</w:t>
            </w:r>
          </w:p>
        </w:tc>
        <w:tc>
          <w:tcPr>
            <w:tcW w:type="dxa" w:w="1700"/>
            <w:shd w:fill="9F2430"/>
            <w:vAlign w:val="center"/>
            <w:tcMar>
              <w:top w:w="90" w:type="dxa"/>
              <w:start w:w="120" w:type="dxa"/>
              <w:bottom w:w="90" w:type="dxa"/>
              <w:end w:w="120" w:type="dxa"/>
              <w:left w:w="90" w:type="dxa"/>
              <w:right w:w="9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/>
                <w:color w:val="FFFFFF"/>
                <w:sz w:val="18"/>
              </w:rPr>
              <w:t>证据标签</w:t>
            </w:r>
          </w:p>
        </w:tc>
        <w:tc>
          <w:tcPr>
            <w:tcW w:type="dxa" w:w="3300"/>
            <w:shd w:fill="9F2430"/>
            <w:vAlign w:val="center"/>
            <w:tcMar>
              <w:top w:w="90" w:type="dxa"/>
              <w:start w:w="120" w:type="dxa"/>
              <w:bottom w:w="90" w:type="dxa"/>
              <w:end w:w="120" w:type="dxa"/>
              <w:left w:w="90" w:type="dxa"/>
              <w:right w:w="9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/>
                <w:color w:val="FFFFFF"/>
                <w:sz w:val="18"/>
              </w:rPr>
              <w:t>来源与位置</w:t>
            </w:r>
          </w:p>
        </w:tc>
        <w:tc>
          <w:tcPr>
            <w:tcW w:type="dxa" w:w="2345"/>
            <w:shd w:fill="9F2430"/>
            <w:vAlign w:val="center"/>
            <w:tcMar>
              <w:top w:w="90" w:type="dxa"/>
              <w:start w:w="120" w:type="dxa"/>
              <w:bottom w:w="90" w:type="dxa"/>
              <w:end w:w="120" w:type="dxa"/>
              <w:left w:w="90" w:type="dxa"/>
              <w:right w:w="9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/>
                <w:color w:val="FFFFFF"/>
                <w:sz w:val="18"/>
              </w:rPr>
              <w:t>单位/限制</w:t>
            </w:r>
          </w:p>
        </w:tc>
      </w:tr>
      <w:tr>
        <w:tc>
          <w:tcPr>
            <w:tcW w:type="dxa" w:w="240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年交易量：1,200万笔</w:t>
            </w:r>
          </w:p>
        </w:tc>
        <w:tc>
          <w:tcPr>
            <w:tcW w:type="dxa" w:w="170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事实 F01</w:t>
            </w:r>
          </w:p>
        </w:tc>
        <w:tc>
          <w:tcPr>
            <w:tcW w:type="dxa" w:w="330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项目事实表/项目事实</w:t>
            </w:r>
          </w:p>
        </w:tc>
        <w:tc>
          <w:tcPr>
            <w:tcW w:type="dxa" w:w="234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笔/年</w:t>
            </w:r>
          </w:p>
        </w:tc>
      </w:tr>
      <w:tr>
        <w:tc>
          <w:tcPr>
            <w:tcW w:type="dxa" w:w="240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年预警量：18,000笔</w:t>
            </w:r>
          </w:p>
        </w:tc>
        <w:tc>
          <w:tcPr>
            <w:tcW w:type="dxa" w:w="170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事实 F02</w:t>
            </w:r>
          </w:p>
        </w:tc>
        <w:tc>
          <w:tcPr>
            <w:tcW w:type="dxa" w:w="330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项目事实表/项目事实</w:t>
            </w:r>
          </w:p>
        </w:tc>
        <w:tc>
          <w:tcPr>
            <w:tcW w:type="dxa" w:w="234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笔/年</w:t>
            </w:r>
          </w:p>
        </w:tc>
      </w:tr>
      <w:tr>
        <w:tc>
          <w:tcPr>
            <w:tcW w:type="dxa" w:w="240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年确认欺诈：2,400笔</w:t>
            </w:r>
          </w:p>
        </w:tc>
        <w:tc>
          <w:tcPr>
            <w:tcW w:type="dxa" w:w="170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事实 F03</w:t>
            </w:r>
          </w:p>
        </w:tc>
        <w:tc>
          <w:tcPr>
            <w:tcW w:type="dxa" w:w="330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项目事实表/项目事实</w:t>
            </w:r>
          </w:p>
        </w:tc>
        <w:tc>
          <w:tcPr>
            <w:tcW w:type="dxa" w:w="234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笔/年</w:t>
            </w:r>
          </w:p>
        </w:tc>
      </w:tr>
      <w:tr>
        <w:tc>
          <w:tcPr>
            <w:tcW w:type="dxa" w:w="240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年直接欺诈损失：3,600万元</w:t>
            </w:r>
          </w:p>
        </w:tc>
        <w:tc>
          <w:tcPr>
            <w:tcW w:type="dxa" w:w="170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事实 F04</w:t>
            </w:r>
          </w:p>
        </w:tc>
        <w:tc>
          <w:tcPr>
            <w:tcW w:type="dxa" w:w="330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项目事实表/项目事实</w:t>
            </w:r>
          </w:p>
        </w:tc>
        <w:tc>
          <w:tcPr>
            <w:tcW w:type="dxa" w:w="234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不含间接与声誉成本</w:t>
            </w:r>
          </w:p>
        </w:tc>
      </w:tr>
      <w:tr>
        <w:tc>
          <w:tcPr>
            <w:tcW w:type="dxa" w:w="240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人工审核团队：28人</w:t>
            </w:r>
          </w:p>
        </w:tc>
        <w:tc>
          <w:tcPr>
            <w:tcW w:type="dxa" w:w="170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事实 F05</w:t>
            </w:r>
          </w:p>
        </w:tc>
        <w:tc>
          <w:tcPr>
            <w:tcW w:type="dxa" w:w="330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项目事实表/项目事实</w:t>
            </w:r>
          </w:p>
        </w:tc>
        <w:tc>
          <w:tcPr>
            <w:tcW w:type="dxa" w:w="234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当前配置</w:t>
            </w:r>
          </w:p>
        </w:tc>
      </w:tr>
      <w:tr>
        <w:tc>
          <w:tcPr>
            <w:tcW w:type="dxa" w:w="240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平均审核时长：18分钟/笔</w:t>
            </w:r>
          </w:p>
        </w:tc>
        <w:tc>
          <w:tcPr>
            <w:tcW w:type="dxa" w:w="170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事实 F06</w:t>
            </w:r>
          </w:p>
        </w:tc>
        <w:tc>
          <w:tcPr>
            <w:tcW w:type="dxa" w:w="330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项目事实表/项目事实</w:t>
            </w:r>
          </w:p>
        </w:tc>
        <w:tc>
          <w:tcPr>
            <w:tcW w:type="dxa" w:w="234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平均值</w:t>
            </w:r>
          </w:p>
        </w:tc>
      </w:tr>
      <w:tr>
        <w:tc>
          <w:tcPr>
            <w:tcW w:type="dxa" w:w="240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当前误报率：62%</w:t>
            </w:r>
          </w:p>
        </w:tc>
        <w:tc>
          <w:tcPr>
            <w:tcW w:type="dxa" w:w="170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事实 F07</w:t>
            </w:r>
          </w:p>
        </w:tc>
        <w:tc>
          <w:tcPr>
            <w:tcW w:type="dxa" w:w="330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项目事实表/项目事实</w:t>
            </w:r>
          </w:p>
        </w:tc>
        <w:tc>
          <w:tcPr>
            <w:tcW w:type="dxa" w:w="234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不得与准确率混用</w:t>
            </w:r>
          </w:p>
        </w:tc>
      </w:tr>
      <w:tr>
        <w:tc>
          <w:tcPr>
            <w:tcW w:type="dxa" w:w="240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当前预算上限：650万元</w:t>
            </w:r>
          </w:p>
        </w:tc>
        <w:tc>
          <w:tcPr>
            <w:tcW w:type="dxa" w:w="170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事实 F09</w:t>
            </w:r>
          </w:p>
        </w:tc>
        <w:tc>
          <w:tcPr>
            <w:tcW w:type="dxa" w:w="330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项目事实表/项目事实</w:t>
            </w:r>
          </w:p>
        </w:tc>
        <w:tc>
          <w:tcPr>
            <w:tcW w:type="dxa" w:w="234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CHG-01当前正式口径</w:t>
            </w:r>
          </w:p>
        </w:tc>
      </w:tr>
      <w:tr>
        <w:tc>
          <w:tcPr>
            <w:tcW w:type="dxa" w:w="240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当前总周期：9个月</w:t>
            </w:r>
          </w:p>
        </w:tc>
        <w:tc>
          <w:tcPr>
            <w:tcW w:type="dxa" w:w="170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事实 F10</w:t>
            </w:r>
          </w:p>
        </w:tc>
        <w:tc>
          <w:tcPr>
            <w:tcW w:type="dxa" w:w="330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项目事实表/项目事实</w:t>
            </w:r>
          </w:p>
        </w:tc>
        <w:tc>
          <w:tcPr>
            <w:tcW w:type="dxa" w:w="234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CHG-01当前正式口径</w:t>
            </w:r>
          </w:p>
        </w:tc>
      </w:tr>
      <w:tr>
        <w:tc>
          <w:tcPr>
            <w:tcW w:type="dxa" w:w="240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确认欺诈率：13.3%</w:t>
            </w:r>
          </w:p>
        </w:tc>
        <w:tc>
          <w:tcPr>
            <w:tcW w:type="dxa" w:w="170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公式推导</w:t>
            </w:r>
          </w:p>
        </w:tc>
        <w:tc>
          <w:tcPr>
            <w:tcW w:type="dxa" w:w="330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项目事实表/分析摘要</w:t>
            </w:r>
          </w:p>
        </w:tc>
        <w:tc>
          <w:tcPr>
            <w:tcW w:type="dxa" w:w="234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不是全交易欺诈率</w:t>
            </w:r>
          </w:p>
        </w:tc>
      </w:tr>
      <w:tr>
        <w:tc>
          <w:tcPr>
            <w:tcW w:type="dxa" w:w="240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年审核工时：5,400小时</w:t>
            </w:r>
          </w:p>
        </w:tc>
        <w:tc>
          <w:tcPr>
            <w:tcW w:type="dxa" w:w="170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公式推导</w:t>
            </w:r>
          </w:p>
        </w:tc>
        <w:tc>
          <w:tcPr>
            <w:tcW w:type="dxa" w:w="330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项目事实表/分析摘要</w:t>
            </w:r>
          </w:p>
        </w:tc>
        <w:tc>
          <w:tcPr>
            <w:tcW w:type="dxa" w:w="234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不含培训、复核和休息</w:t>
            </w:r>
          </w:p>
        </w:tc>
      </w:tr>
      <w:tr>
        <w:tc>
          <w:tcPr>
            <w:tcW w:type="dxa" w:w="240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年误报量：11,160笔</w:t>
            </w:r>
          </w:p>
        </w:tc>
        <w:tc>
          <w:tcPr>
            <w:tcW w:type="dxa" w:w="170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公式推导</w:t>
            </w:r>
          </w:p>
        </w:tc>
        <w:tc>
          <w:tcPr>
            <w:tcW w:type="dxa" w:w="330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项目事实表/分析摘要</w:t>
            </w:r>
          </w:p>
        </w:tc>
        <w:tc>
          <w:tcPr>
            <w:tcW w:type="dxa" w:w="234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预警量×当前误报率</w:t>
            </w:r>
          </w:p>
        </w:tc>
      </w:tr>
      <w:tr>
        <w:tc>
          <w:tcPr>
            <w:tcW w:type="dxa" w:w="240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损失改善25%—35%</w:t>
            </w:r>
          </w:p>
        </w:tc>
        <w:tc>
          <w:tcPr>
            <w:tcW w:type="dxa" w:w="170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供应商主张</w:t>
            </w:r>
          </w:p>
        </w:tc>
        <w:tc>
          <w:tcPr>
            <w:tcW w:type="dxa" w:w="330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项目事实表/分析摘要</w:t>
            </w:r>
          </w:p>
        </w:tc>
        <w:tc>
          <w:tcPr>
            <w:tcW w:type="dxa" w:w="234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尚未验证；不是保证</w:t>
            </w:r>
          </w:p>
        </w:tc>
      </w:tr>
      <w:tr>
        <w:tc>
          <w:tcPr>
            <w:tcW w:type="dxa" w:w="240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情景值900万—1,260万元</w:t>
            </w:r>
          </w:p>
        </w:tc>
        <w:tc>
          <w:tcPr>
            <w:tcW w:type="dxa" w:w="170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机械情景推导</w:t>
            </w:r>
          </w:p>
        </w:tc>
        <w:tc>
          <w:tcPr>
            <w:tcW w:type="dxa" w:w="330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项目事实表/分析摘要</w:t>
            </w:r>
          </w:p>
        </w:tc>
        <w:tc>
          <w:tcPr>
            <w:tcW w:type="dxa" w:w="234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不是预测、承诺或ROI</w:t>
            </w:r>
          </w:p>
        </w:tc>
      </w:tr>
    </w:tbl>
    <w:p>
      <w:pPr>
        <w:spacing w:after="20"/>
      </w:pPr>
    </w:p>
    <w:p>
      <w:pPr>
        <w:pStyle w:val="Heading1"/>
      </w:pPr>
      <w:r>
        <w:t>附录B：变更记录</w:t>
      </w:r>
    </w:p>
    <w:p>
      <w:pPr>
        <w:spacing w:after="160"/>
      </w:pPr>
      <w:r>
        <w:t>本表记录影响Word和PPT一致性的正式口径变化。任何后续预算、周期、范围或结论变化都应同步更新两个文件。</w:t>
      </w:r>
    </w:p>
    <w:tbl>
      <w:tblPr>
        <w:tblStyle w:val="TableGrid"/>
        <w:tblW w:type="dxa" w:w="9745"/>
        <w:jc w:val="left"/>
        <w:tblLayout w:type="autofit"/>
        <w:tblLook w:firstColumn="1" w:firstRow="1" w:lastColumn="0" w:lastRow="0" w:noHBand="0" w:noVBand="1" w:val="04A0"/>
        <w:tblInd w:w="120" w:type="dxa"/>
        <w:tblBorders>
          <w:top w:val="single" w:sz="6" w:space="0" w:color="D6D0C7"/>
          <w:left w:val="single" w:sz="6" w:space="0" w:color="D6D0C7"/>
          <w:bottom w:val="single" w:sz="6" w:space="0" w:color="D6D0C7"/>
          <w:right w:val="single" w:sz="6" w:space="0" w:color="D6D0C7"/>
          <w:insideH w:val="single" w:sz="6" w:space="0" w:color="D6D0C7"/>
          <w:insideV w:val="single" w:sz="6" w:space="0" w:color="D6D0C7"/>
        </w:tblBorders>
      </w:tblPr>
      <w:tblGrid>
        <w:gridCol w:w="2400"/>
        <w:gridCol w:w="2700"/>
        <w:gridCol w:w="3000"/>
        <w:gridCol w:w="1645"/>
      </w:tblGrid>
      <w:tr>
        <w:trPr>
          <w:tblHeader w:val="true"/>
          <w:tblHeader w:val="true"/>
        </w:trPr>
        <w:tc>
          <w:tcPr>
            <w:tcW w:type="dxa" w:w="2400"/>
            <w:shd w:fill="9F2430"/>
            <w:vAlign w:val="center"/>
            <w:tcMar>
              <w:top w:w="90" w:type="dxa"/>
              <w:start w:w="120" w:type="dxa"/>
              <w:bottom w:w="90" w:type="dxa"/>
              <w:end w:w="120" w:type="dxa"/>
              <w:left w:w="90" w:type="dxa"/>
              <w:right w:w="9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/>
                <w:color w:val="FFFFFF"/>
                <w:sz w:val="18"/>
              </w:rPr>
              <w:t>变更</w:t>
            </w:r>
          </w:p>
        </w:tc>
        <w:tc>
          <w:tcPr>
            <w:tcW w:type="dxa" w:w="2700"/>
            <w:shd w:fill="9F2430"/>
            <w:vAlign w:val="center"/>
            <w:tcMar>
              <w:top w:w="90" w:type="dxa"/>
              <w:start w:w="120" w:type="dxa"/>
              <w:bottom w:w="90" w:type="dxa"/>
              <w:end w:w="120" w:type="dxa"/>
              <w:left w:w="90" w:type="dxa"/>
              <w:right w:w="9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/>
                <w:color w:val="FFFFFF"/>
                <w:sz w:val="18"/>
              </w:rPr>
              <w:t>影响位置</w:t>
            </w:r>
          </w:p>
        </w:tc>
        <w:tc>
          <w:tcPr>
            <w:tcW w:type="dxa" w:w="3000"/>
            <w:shd w:fill="9F2430"/>
            <w:vAlign w:val="center"/>
            <w:tcMar>
              <w:top w:w="90" w:type="dxa"/>
              <w:start w:w="120" w:type="dxa"/>
              <w:bottom w:w="90" w:type="dxa"/>
              <w:end w:w="120" w:type="dxa"/>
              <w:left w:w="90" w:type="dxa"/>
              <w:right w:w="9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/>
                <w:color w:val="FFFFFF"/>
                <w:sz w:val="18"/>
              </w:rPr>
              <w:t>修改结果</w:t>
            </w:r>
          </w:p>
        </w:tc>
        <w:tc>
          <w:tcPr>
            <w:tcW w:type="dxa" w:w="1645"/>
            <w:shd w:fill="9F2430"/>
            <w:vAlign w:val="center"/>
            <w:tcMar>
              <w:top w:w="90" w:type="dxa"/>
              <w:start w:w="120" w:type="dxa"/>
              <w:bottom w:w="90" w:type="dxa"/>
              <w:end w:w="120" w:type="dxa"/>
              <w:left w:w="90" w:type="dxa"/>
              <w:right w:w="9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/>
                <w:color w:val="FFFFFF"/>
                <w:sz w:val="18"/>
              </w:rPr>
              <w:t>核验人</w:t>
            </w:r>
          </w:p>
        </w:tc>
      </w:tr>
      <w:tr>
        <w:tc>
          <w:tcPr>
            <w:tcW w:type="dxa" w:w="240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CHG-01预算上限调整</w:t>
            </w:r>
          </w:p>
        </w:tc>
        <w:tc>
          <w:tcPr>
            <w:tcW w:type="dxa" w:w="270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Word摘要/预算/证据/结论；PPT投入/决策</w:t>
            </w:r>
          </w:p>
        </w:tc>
        <w:tc>
          <w:tcPr>
            <w:tcW w:type="dxa" w:w="300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统一使用650万元；800万元仅保留为历史口径</w:t>
            </w:r>
          </w:p>
        </w:tc>
        <w:tc>
          <w:tcPr>
            <w:tcW w:type="dxa" w:w="164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Codex初检</w:t>
            </w:r>
          </w:p>
        </w:tc>
      </w:tr>
      <w:tr>
        <w:tc>
          <w:tcPr>
            <w:tcW w:type="dxa" w:w="240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CHG-01总周期压缩</w:t>
            </w:r>
          </w:p>
        </w:tc>
        <w:tc>
          <w:tcPr>
            <w:tcW w:type="dxa" w:w="270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Word摘要/实施/结论；PPT方案/投入/决策</w:t>
            </w:r>
          </w:p>
        </w:tc>
        <w:tc>
          <w:tcPr>
            <w:tcW w:type="dxa" w:w="300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统一使用9个月；前3个月有限试点</w:t>
            </w:r>
          </w:p>
        </w:tc>
        <w:tc>
          <w:tcPr>
            <w:tcW w:type="dxa" w:w="164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Codex初检</w:t>
            </w:r>
          </w:p>
        </w:tc>
      </w:tr>
      <w:tr>
        <w:tc>
          <w:tcPr>
            <w:tcW w:type="dxa" w:w="240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新增第3个月末扩展门槛</w:t>
            </w:r>
          </w:p>
        </w:tc>
        <w:tc>
          <w:tcPr>
            <w:tcW w:type="dxa" w:w="270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Word实施/结论；PPT评价/决策</w:t>
            </w:r>
          </w:p>
        </w:tc>
        <w:tc>
          <w:tcPr>
            <w:tcW w:type="dxa" w:w="300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未通过门槛不得进入受控扩展</w:t>
            </w:r>
          </w:p>
        </w:tc>
        <w:tc>
          <w:tcPr>
            <w:tcW w:type="dxa" w:w="164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Codex初检</w:t>
            </w:r>
          </w:p>
        </w:tc>
      </w:tr>
      <w:tr>
        <w:tc>
          <w:tcPr>
            <w:tcW w:type="dxa" w:w="240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业务事实与供应商主张保持</w:t>
            </w:r>
          </w:p>
        </w:tc>
        <w:tc>
          <w:tcPr>
            <w:tcW w:type="dxa" w:w="270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Word事实/价值；PPT证据/效果</w:t>
            </w:r>
          </w:p>
        </w:tc>
        <w:tc>
          <w:tcPr>
            <w:tcW w:type="dxa" w:w="300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核心事实不变；效果继续标注尚未验证</w:t>
            </w:r>
          </w:p>
        </w:tc>
        <w:tc>
          <w:tcPr>
            <w:tcW w:type="dxa" w:w="164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Codex初检</w:t>
            </w:r>
          </w:p>
        </w:tc>
      </w:tr>
      <w:tr>
        <w:tc>
          <w:tcPr>
            <w:tcW w:type="dxa" w:w="240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P010/P011补充修复</w:t>
            </w:r>
          </w:p>
        </w:tc>
        <w:tc>
          <w:tcPr>
            <w:tcW w:type="dxa" w:w="270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Word投入与收益/结论；PPT投入/决策/证据边界</w:t>
            </w:r>
          </w:p>
        </w:tc>
        <w:tc>
          <w:tcPr>
            <w:tcW w:type="dxa" w:w="300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披露5项未明确纳入成本；误报率主张恢复45%—50%并标注尚未验证</w:t>
            </w:r>
          </w:p>
        </w:tc>
        <w:tc>
          <w:tcPr>
            <w:tcW w:type="dxa" w:w="1645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Codex复测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992" w:right="1077" w:bottom="992" w:left="1077" w:header="425" w:footer="42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center"/>
    </w:pPr>
    <w:r>
      <w:rPr>
        <w:rFonts w:ascii="Arial" w:hAnsi="Arial" w:eastAsia="Microsoft YaHei"/>
        <w:color w:val="6D6A67"/>
        <w:sz w:val="17"/>
      </w:rPr>
    </w:r>
    <w:r>
      <w:rPr>
        <w:rFonts w:ascii="Arial" w:hAnsi="Arial" w:eastAsia="Microsoft YaHei"/>
        <w:color w:val="6D6A67"/>
        <w:sz w:val="17"/>
      </w:rPr>
      <w:t xml:space="preserve">第 </w:t>
    </w:r>
    <w:fldSimple w:instr="PAGE"/>
    <w:r>
      <w:rPr>
        <w:rFonts w:ascii="Arial" w:hAnsi="Arial" w:eastAsia="Microsoft YaHei"/>
        <w:color w:val="6D6A67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sz w:val="16"/>
      </w:rPr>
    </w:r>
    <w:r>
      <w:rPr>
        <w:rFonts w:ascii="Arial" w:hAnsi="Arial" w:eastAsia="Microsoft YaHei"/>
        <w:color w:val="6D6A67"/>
        <w:sz w:val="17"/>
      </w:rPr>
      <w:t>智能体 Agent · 金融科技实验工件｜学生材料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</w:pPr>
      <w:rPr>
        <w:rFonts w:ascii="Arial" w:hAnsi="Arial"/>
      </w:r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</w:pPr>
    </w:lvl>
  </w:abstractNum>
  <w:num w:numId="11">
    <w:abstractNumId w:val="10"/>
  </w:num>
  <w:num w:numId="12">
    <w:abstractNumId w:val="10"/>
    <w:lvlOverride w:ilvl="0">
      <w:startOverride w:val="1"/>
    </w:lvlOverride>
  </w:num>
  <w:num w:numId="13">
    <w:abstractNumId w:val="10"/>
    <w:lvlOverride w:ilvl="0">
      <w:startOverride w:val="1"/>
    </w:lvlOverride>
  </w:num>
  <w:num w:numId="14">
    <w:abstractNumId w:val="10"/>
    <w:lvlOverride w:ilvl="0">
      <w:startOverride w:val="1"/>
    </w:lvlOverride>
  </w:num>
  <w:num w:numId="15">
    <w:abstractNumId w:val="10"/>
    <w:lvlOverride w:ilvl="0">
      <w:startOverride w:val="1"/>
    </w:lvlOverride>
  </w:num>
  <w:num w:numId="16">
    <w:abstractNumId w:val="10"/>
    <w:lvlOverride w:ilvl="0">
      <w:startOverride w:val="1"/>
    </w:lvlOverride>
  </w:num>
  <w:num w:numId="17">
    <w:abstractNumId w:val="10"/>
    <w:lvlOverride w:ilvl="0">
      <w:startOverride w:val="1"/>
    </w:lvlOverride>
  </w:num>
  <w:num w:numId="18">
    <w:abstractNumId w:val="10"/>
    <w:lvlOverride w:ilvl="0">
      <w:startOverride w:val="1"/>
    </w:lvlOverride>
  </w:num>
  <w:num w:numId="19">
    <w:abstractNumId w:val="10"/>
    <w:lvlOverride w:ilvl="0">
      <w:startOverride w:val="1"/>
    </w:lvlOverride>
  </w:num>
  <w:num w:numId="20">
    <w:abstractNumId w:val="1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300" w:lineRule="auto"/>
    </w:pPr>
    <w:rPr>
      <w:rFonts w:ascii="Arial" w:hAnsi="Arial" w:eastAsia="Microsoft YaHei"/>
      <w:color w:val="22222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9F243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60" w:after="12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9F2430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222222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Arial" w:hAnsi="Arial" w:eastAsia="Microsoft YaHei"/>
      <w:b w:val="0"/>
      <w:color w:val="222222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" w:hAnsi="Arial" w:eastAsia="Microsoft YaHei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Arial" w:hAnsi="Arial" w:eastAsia="Microsoft YaHei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80" w:after="120" w:line="240" w:lineRule="auto"/>
      <w:ind w:left="142" w:right="113"/>
    </w:pPr>
    <w:rPr>
      <w:rFonts w:ascii="DejaVu Sans Mono" w:hAnsi="DejaVu Sans Mono" w:eastAsia="DejaVu Sans Mono"/>
      <w:color w:val="222222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明川银行 AI 反欺诈预警系统立项分析报告（修订版V1）</dc:title>
  <dc:subject>P001—P013证据化修复</dc:subject>
  <dc:creator>金融科技学院智能体实验课程</dc:creator>
  <cp:keywords>Agent, 金融科技, 学生实验, Word, PowerPoint, Skill</cp:keywords>
  <dc:description>教学模拟；依据项目事实表、供应商方案摘要与CHG-01修订。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