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0"/>
        </w:rPr>
        <w:t>实验2｜材料纠错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修复计划、核验与反思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4"/>
        </w:rPr>
        <w:t>P001—P013问题修复闭环与跨文档回归核验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组号：</w:t>
      </w:r>
      <w:r>
        <w:rPr>
          <w:rFonts w:ascii="Calibri" w:hAnsi="Calibri" w:eastAsia="Microsoft YaHei"/>
          <w:sz w:val="22"/>
        </w:rPr>
        <w:t>G21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组员姓名与学号：</w:t>
      </w:r>
      <w:r>
        <w:rPr>
          <w:rFonts w:ascii="Calibri" w:hAnsi="Calibri" w:eastAsia="Microsoft YaHei"/>
          <w:sz w:val="22"/>
        </w:rPr>
        <w:t>现有工作记录未提供；本文件不补造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材料性质：</w:t>
      </w:r>
      <w:r>
        <w:rPr>
          <w:rFonts w:ascii="Calibri" w:hAnsi="Calibri" w:eastAsia="Microsoft YaHei"/>
          <w:sz w:val="22"/>
        </w:rPr>
        <w:t>教学模拟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生成日期：</w:t>
      </w:r>
      <w:r>
        <w:rPr>
          <w:rFonts w:ascii="Calibri" w:hAnsi="Calibri" w:eastAsia="Microsoft YaHei"/>
          <w:sz w:val="22"/>
        </w:rPr>
        <w:t>2026-07-23</w:t>
      </w:r>
    </w:p>
    <w:p/>
    <w:p>
      <w:pPr>
        <w:pStyle w:val="Heading1"/>
      </w:pPr>
      <w:r>
        <w:t>一、修复计划</w:t>
      </w:r>
    </w:p>
    <w:p>
      <w:r>
        <w:t>修复对象为故障版Word和PPT的工作副本；不覆盖教师原件。证据优先级为：管理层变更卡CHG-01＞项目事实表当前正式口径＞供应商方案摘要＞未验证判断。修复优先处理金额、单位和结论硬错误，再处理跨文档冲突、风险与成本遗漏、供应商主张失真和版式缺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200"/>
        <w:gridCol w:w="3100"/>
        <w:gridCol w:w="2100"/>
        <w:gridCol w:w="22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顺序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问题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修复动作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依据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验收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P002、P003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统一650万元、9个月、前3个月试点与第3个月末门槛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F09、F10；CHG-01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旧口径扫描；实施阶段复核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P001、P004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统一项目名与受控试点边界；恢复规则并行和人工最终复核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事实表标题；供应商摘要；R02—R04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封面/摘要/结论扫描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P005—P007、P011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修正3,600万元；恢复25%—35%、30%、45%—50%并标尚未验证；删除确定性ROI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F04；供应商摘要第2页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比例、区间、标签与公式复核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P009、P012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预算与周期拆成对等指标卡，周期注明试点与门槛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F09、F10；CHG-01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PPT逐页视觉核对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P010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披露内部人员、数据治理、运维、额外接口、退出迁移五项成本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供应商摘要第2页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投入、结论、决策及附录核对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P008、P013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补齐八类风险和附录证据边界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风险清单R01—R08；模板第8页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风险覆盖与8页结构复核</w:t>
            </w:r>
          </w:p>
        </w:tc>
      </w:tr>
    </w:tbl>
    <w:p>
      <w:pPr>
        <w:spacing w:after="0"/>
      </w:pPr>
    </w:p>
    <w:p>
      <w:pPr>
        <w:pStyle w:val="Heading1"/>
      </w:pPr>
      <w:r>
        <w:t>二、执行记录</w:t>
      </w:r>
    </w:p>
    <w:p>
      <w:r>
        <w:t>按计划在另存的修订版文件中执行P001—P013。项目名称统一为“明川银行 AI 反欺诈预警系统”；预算与周期统一为650万元和9个月；供应商效果保持原区间并就近标注“供应商主张，尚未验证”。PPT恢复8页结构，Word和PPT均披露五项未明确纳入成本，并保留人工最终处置责任。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300"/>
        <w:gridCol w:w="1100"/>
        <w:gridCol w:w="25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问题组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关键修改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复测证据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P001—P004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项目名、试点边界、预算周期、规则并行与人工复核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Word摘要/方案/结论；PPT封面/方案/决策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P005—P007、P011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事实值、供应商区间、尚未验证标签与非ROI边界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Word投入与收益；PPT事实卡/投入页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P008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八类风险、责任方、监控与停止条件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Word风险表；PPT风险治理页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P009、P012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650万元与9个月独立指标卡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PPT投入与预期页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P010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五项预算排除边界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Word预算段/结论；PPT决策/附录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P013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恢复附录｜证据边界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PPT第8页</w:t>
            </w:r>
          </w:p>
        </w:tc>
      </w:tr>
    </w:tbl>
    <w:p>
      <w:pPr>
        <w:spacing w:after="0"/>
      </w:pPr>
    </w:p>
    <w:p>
      <w:pPr>
        <w:pStyle w:val="Heading1"/>
      </w:pPr>
      <w:r>
        <w:t>三、回归核验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3100"/>
        <w:gridCol w:w="16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核验项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Word修订版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PPT修订版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项目名称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明川银行 AI 反欺诈预警系统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同口径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预算/周期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650万元/9个月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650万元/9个月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试点门槛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前3个月；第3个月末评审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同口径并独立呈现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核心事实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1,200万笔、18,000笔、2,400笔、3,600万元、62%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管理层所需事实同口径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供应商效果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25%—35%、30%、45%—50%；尚未验证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同口径并标尚未验证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预算边界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五项未明确纳入成本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决策页与附录披露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风险/建议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八类风险；受控试点、门槛后再扩展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同一决策边界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</w:tbl>
    <w:p>
      <w:pPr>
        <w:spacing w:after="0"/>
      </w:pPr>
    </w:p>
    <w:p>
      <w:r>
        <w:t>问题台账P001—P013最终状态均为“已关闭”，各条保留具体位置、依据、修复动作和复测结果。未发现修订引入新的事实、数字或结论冲突；旧口径只允许出现在历史变更记录。</w:t>
      </w:r>
    </w:p>
    <w:p>
      <w:pPr>
        <w:pStyle w:val="Heading1"/>
      </w:pPr>
      <w:r>
        <w:t>四、同伴抽查</w:t>
      </w:r>
    </w:p>
    <w:p>
      <w:r>
        <w:t>按“事实—依据—修复—复测”链条进行了第二轮抽查：抽查P005的3,600万元事实基数、P010的五项成本排除、P011的45%—50%区间、P009/P012的预算周期指标卡和P013的证据附录。抽查结果与V3台账一致。现有工作记录未提供具名同伴或签名信息，本记录不补造人员姓名；提交前如需具名签字，应由实际组员在本地补充。</w:t>
      </w:r>
    </w:p>
    <w:p>
      <w:pPr>
        <w:pStyle w:val="Heading1"/>
      </w:pPr>
      <w:r>
        <w:t>五、未解决事项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62%误报率与13.3%确认欺诈率的口径关系仍需业务确认；两项事实均原样保留，不自行修正。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650万元是否覆盖内部人员、数据治理整改、长期运维、额外接口和退出迁移成本仍未明确。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当前环境未完成DOCX逐页视觉渲染；已通过OOXML结构、章节、表格与关键文本检查，提交前仍应在Microsoft Word中目视分页。</w:t>
      </w:r>
    </w:p>
    <w:p>
      <w:pPr>
        <w:pStyle w:val="Heading1"/>
      </w:pPr>
      <w:r>
        <w:t>六、反思</w:t>
      </w:r>
    </w:p>
    <w:p>
      <w:r>
        <w:t>材料纠错的核心不是把页面修得更像成品，而是把每个修改绑定到可定位证据。金额和单位错误会直接改变审批判断，供应商区间被缩成最优值则会制造虚假的确定性；两者都必须优先于排版问题处理。复测时不能只看改动位置，还要扫描摘要、图表、决策页和附录的联动影响。问题台账保留原内容、正确依据、修复动作和复测结果，才能证明问题真正关闭，也能在后续变更时避免旧错误再次进入Word和PP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G21｜实验2｜材料纠错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04_G21_实验2_修复计划核验与反思</dc:title>
  <dc:subject>G21 三次智能体实验提交物</dc:subject>
  <dc:creator>G21</dc:creator>
  <cp:keywords>教学模拟, 可追溯, 金融科技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