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00"/>
        <w:jc w:val="center"/>
      </w:pPr>
      <w:r>
        <w:rPr>
          <w:rFonts w:ascii="Calibri" w:hAnsi="Calibri" w:eastAsia="等线"/>
          <w:b/>
          <w:color w:val="1F4D78"/>
          <w:sz w:val="52"/>
        </w:rPr>
        <w:t>智能信贷审批辅助项目</w:t>
      </w:r>
    </w:p>
    <w:p>
      <w:pPr>
        <w:spacing w:after="520"/>
        <w:jc w:val="center"/>
      </w:pPr>
      <w:r>
        <w:rPr>
          <w:rFonts w:ascii="Calibri" w:hAnsi="Calibri" w:eastAsia="等线"/>
          <w:color w:val="595959"/>
          <w:sz w:val="30"/>
        </w:rPr>
        <w:t>有限试点立项分析报告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2592"/>
        <w:gridCol w:w="1728"/>
        <w:gridCol w:w="3600"/>
      </w:tblGrid>
      <w:tr>
        <w:trPr>
          <w:tblHeader w:val="true"/>
        </w:trPr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版本</w:t>
            </w:r>
          </w:p>
        </w:tc>
        <w:tc>
          <w:tcPr>
            <w:tcW w:type="dxa" w:w="25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预算上限</w:t>
            </w:r>
          </w:p>
        </w:tc>
        <w:tc>
          <w:tcPr>
            <w:tcW w:type="dxa" w:w="172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周期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材料性质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T4-变更后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380万元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6个月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教学模拟；管理层有限试点决策材料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Calibri" w:hAnsi="Calibri" w:eastAsia="等线"/>
          <w:color w:val="595959"/>
          <w:sz w:val="18"/>
        </w:rPr>
        <w:t>证据边界：事实来自案例“二、正式事实”；供应商效果仅为尚未验证主张。</w:t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rPr>
          <w:rFonts w:ascii="Calibri" w:hAnsi="Calibri" w:eastAsia="等线"/>
          <w:b/>
          <w:color w:val="1F4D78"/>
          <w:sz w:val="22"/>
        </w:rPr>
        <w:t>建议：</w:t>
      </w:r>
      <w:r>
        <w:t>在预算上限380万元、周期6个月的边界内，批准有限试点；试点仅用于材料整理、缺失字段提示、审核摘要和风险提示，不改变授权审批人员的最终授信责任。</w:t>
      </w:r>
    </w:p>
    <w:p>
      <w:pPr>
        <w:pStyle w:val="ListBullet"/>
      </w:pPr>
      <w:r>
        <w:t>年申请量24万件、平均人工审核时长45分钟/件是受控事实（CASE-T1-R2、CASE-T1-R3）。</w:t>
      </w:r>
    </w:p>
    <w:p>
      <w:pPr>
        <w:pStyle w:val="ListBullet"/>
      </w:pPr>
      <w:r>
        <w:t>当前12个月逾期率5.8%仅为业务基线，不能归因于审核时长，也不能据此推断试点改善幅度（CASE-T1-R4）。</w:t>
      </w:r>
    </w:p>
    <w:p>
      <w:pPr>
        <w:pStyle w:val="ListBullet"/>
      </w:pPr>
      <w:r>
        <w:t>供应商提出审核效率提升35%，但尚未验证；不得视为承诺、保证或已实现收益（CASE-T1-R7）。</w:t>
      </w:r>
    </w:p>
    <w:p>
      <w:pPr>
        <w:pStyle w:val="ListBullet"/>
      </w:pPr>
      <w:r>
        <w:t>模型对逾期率的影响未提供，列为待确认；不形成ROI或确定收益结论（CASE-T1-R8）。</w:t>
      </w:r>
    </w:p>
    <w:p>
      <w:pPr>
        <w:pStyle w:val="Heading1"/>
      </w:pPr>
      <w:r>
        <w:t>2. 项目背景</w:t>
      </w:r>
    </w:p>
    <w:p>
      <w:r>
        <w:t>海岚消费金融公司计划测试智能信贷审批辅助工具。工具拟整理申请材料、提示缺失字段、生成审核摘要和风险提示。最终授信决定继续由授权审批人员作出。</w:t>
      </w:r>
    </w:p>
    <w:p>
      <w:r>
        <w:t>来源：03_智能信贷审批测试案例.docx，“一、背景”，段落6。</w:t>
      </w:r>
    </w:p>
    <w:p>
      <w:pPr>
        <w:pStyle w:val="Heading1"/>
      </w:pPr>
      <w:r>
        <w:t>3. 建设目标</w:t>
      </w:r>
    </w:p>
    <w:p>
      <w:pPr>
        <w:pStyle w:val="ListBullet"/>
      </w:pPr>
      <w:r>
        <w:t>验证材料整理、缺失字段提示、摘要与风险提示的可用性和文档识别质量。</w:t>
      </w:r>
    </w:p>
    <w:p>
      <w:pPr>
        <w:pStyle w:val="ListBullet"/>
      </w:pPr>
      <w:r>
        <w:t>验证人工审批可理解、可复核、可申诉的工作边界。</w:t>
      </w:r>
    </w:p>
    <w:p>
      <w:pPr>
        <w:pStyle w:val="ListBullet"/>
      </w:pPr>
      <w:r>
        <w:t>形成可追溯的日志、版本、证据留存与再验证机制。</w:t>
      </w:r>
    </w:p>
    <w:p>
      <w:pPr>
        <w:pStyle w:val="ListBullet"/>
      </w:pPr>
      <w:r>
        <w:t>不以降低逾期率或实现确定ROI作为本轮已验证目标。</w:t>
      </w:r>
    </w:p>
    <w:p>
      <w:pPr>
        <w:pStyle w:val="Heading1"/>
      </w:pPr>
      <w:r>
        <w:t>4. 试点范围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5328"/>
        <w:gridCol w:w="2448"/>
      </w:tblGrid>
      <w:tr>
        <w:trPr>
          <w:tblHeader w:val="true"/>
        </w:trPr>
        <w:tc>
          <w:tcPr>
            <w:tcW w:type="dxa" w:w="158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范围项</w:t>
            </w:r>
          </w:p>
        </w:tc>
        <w:tc>
          <w:tcPr>
            <w:tcW w:type="dxa" w:w="532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本轮边界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证据/状态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功能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材料整理、缺失字段提示、审核摘要、风险提示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案例“一、背景”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决策责任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模型提供辅助判断；最终授信由授权审批人员作出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案例“一、背景”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试点周期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6个月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CASE-T1-R6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扩展条件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完成历史样本验证、公平性/解释性/授权/人工复核审查并经管理层再决策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治理条件；数值阈值待确认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叫停条件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发现不当使用受保护属性、重大授权/隐私缺陷、无法纠正的文档识别错误或人工复核失效时暂停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治理条件</w:t>
            </w:r>
          </w:p>
        </w:tc>
      </w:tr>
    </w:tbl>
    <w:p>
      <w:pPr>
        <w:spacing w:after="40"/>
      </w:pPr>
    </w:p>
    <w:p>
      <w:pPr>
        <w:pStyle w:val="Heading1"/>
      </w:pPr>
      <w:r>
        <w:t>5. 实施计划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3456"/>
        <w:gridCol w:w="3312"/>
        <w:gridCol w:w="1440"/>
      </w:tblGrid>
      <w:tr>
        <w:trPr>
          <w:tblHeader w:val="true"/>
        </w:trPr>
        <w:tc>
          <w:tcPr>
            <w:tcW w:type="dxa" w:w="115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34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工作</w:t>
            </w:r>
          </w:p>
        </w:tc>
        <w:tc>
          <w:tcPr>
            <w:tcW w:type="dxa" w:w="33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输出</w:t>
            </w:r>
          </w:p>
        </w:tc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期限口径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阶段1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数据授权、历史样本与材料格式盘点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样本清单、授权与访问控制、质量基线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纳入6个月总周期；分阶段日期待确认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阶段2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离线验证与人工并行复核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识别质量、公平性、解释性、误报/漏报评估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纳入6个月总周期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阶段3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有限试点与门槛评审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运行日志、申诉/投诉、漂移与供应商依赖评估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纳入6个月总周期</w:t>
            </w:r>
          </w:p>
        </w:tc>
      </w:tr>
    </w:tbl>
    <w:p>
      <w:pPr>
        <w:spacing w:after="40"/>
      </w:pPr>
    </w:p>
    <w:p>
      <w:pPr>
        <w:pStyle w:val="Heading1"/>
      </w:pPr>
      <w:r>
        <w:t>6. 投入与收益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2448"/>
        <w:gridCol w:w="4896"/>
      </w:tblGrid>
      <w:tr>
        <w:trPr>
          <w:tblHeader w:val="true"/>
        </w:trPr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当前口径</w:t>
            </w:r>
          </w:p>
        </w:tc>
        <w:tc>
          <w:tcPr>
            <w:tcW w:type="dxa" w:w="48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证据与限制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预算上限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380万元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CHG-01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试点周期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6个月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CASE-T1-R6；变更未涉及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供应商效果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审核效率提升35%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供应商主张，尚未验证（CASE-T1-R7）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逾期率影响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未提供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待确认，不得补造（CASE-T1-R8）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ROI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未形成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缺少逾期率影响、成本全量范围等证据</w:t>
            </w:r>
          </w:p>
        </w:tc>
      </w:tr>
    </w:tbl>
    <w:p>
      <w:pPr>
        <w:spacing w:after="40"/>
      </w:pPr>
    </w:p>
    <w:p>
      <w:pPr>
        <w:pStyle w:val="Heading2"/>
      </w:pPr>
      <w:r>
        <w:t>6.1 预算边界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12"/>
        <w:gridCol w:w="6048"/>
      </w:tblGrid>
      <w:tr>
        <w:trPr>
          <w:tblHeader w:val="true"/>
        </w:trPr>
        <w:tc>
          <w:tcPr>
            <w:tcW w:type="dxa" w:w="33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成本项</w:t>
            </w:r>
          </w:p>
        </w:tc>
        <w:tc>
          <w:tcPr>
            <w:tcW w:type="dxa" w:w="60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是否纳入当前预算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银行内部人员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未明确纳入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数据治理整改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未明确纳入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长期运维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未明确纳入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额外接口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未明确纳入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退出迁移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未明确纳入</w:t>
            </w:r>
          </w:p>
        </w:tc>
      </w:tr>
    </w:tbl>
    <w:p>
      <w:pPr>
        <w:spacing w:after="40"/>
      </w:pPr>
    </w:p>
    <w:p>
      <w:pPr>
        <w:pStyle w:val="Heading1"/>
      </w:pPr>
      <w:r>
        <w:t>7. 风险与治理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7344"/>
      </w:tblGrid>
      <w:tr>
        <w:trPr>
          <w:tblHeader w:val="true"/>
        </w:trPr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风险</w:t>
            </w:r>
          </w:p>
        </w:tc>
        <w:tc>
          <w:tcPr>
            <w:tcW w:type="dxa" w:w="73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最低控制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隐私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数据最小化、用途与授权核验、脱敏、分级访问和保留期限。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误报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提示错误可能影响客户；必须人工复核、记录理由并提供申诉。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漏报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保留残余风险监测、人工升级和异常复核机制。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解释性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向审批人员和客户提供关键因素与可解释输出；最终责任仍属授权审批人员。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模型漂移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持续监控阈值、识别质量和版本变化，必要时再验证。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审计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保留输入、输出、人工修改、版本、日志和证据链。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供应商依赖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评估锁定、服务中断、数据与模型可迁移性及退出安排。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客户争议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建立投诉、补救、人工介入和最终决策责任机制。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公平与歧视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按合规批准的群体维度检验不合理差异；不得不当使用受保护属性。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自动化偏误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要求审批人员独立判断、记录偏离理由并抽样复核盲从风险。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模型/文档质量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用历史样本验证多格式材料与接口；监控识别错误、漂移和版本。</w:t>
            </w:r>
          </w:p>
        </w:tc>
      </w:tr>
    </w:tbl>
    <w:p>
      <w:pPr>
        <w:spacing w:after="40"/>
      </w:pPr>
    </w:p>
    <w:p>
      <w:pPr>
        <w:pStyle w:val="Heading1"/>
      </w:pPr>
      <w:r>
        <w:t>8. 结论与决策</w:t>
      </w:r>
    </w:p>
    <w:p>
      <w:pPr>
        <w:pStyle w:val="Heading2"/>
      </w:pPr>
      <w:r>
        <w:t>8.1 本次批准事项</w:t>
      </w:r>
    </w:p>
    <w:p>
      <w:pPr>
        <w:pStyle w:val="ListBullet"/>
      </w:pPr>
      <w:r>
        <w:t>批准预算上限380万元、周期6个月的有限试点。</w:t>
      </w:r>
    </w:p>
    <w:p>
      <w:pPr>
        <w:pStyle w:val="ListBullet"/>
      </w:pPr>
      <w:r>
        <w:t>批准首阶段开展授权核验、历史样本/材料格式盘点和离线质量基线建立。</w:t>
      </w:r>
    </w:p>
    <w:p>
      <w:pPr>
        <w:pStyle w:val="ListBullet"/>
      </w:pPr>
      <w:r>
        <w:t>确认模型仅作辅助判断，不承担最终授信或自动拒绝责任。</w:t>
      </w:r>
    </w:p>
    <w:p>
      <w:pPr>
        <w:pStyle w:val="Heading2"/>
      </w:pPr>
      <w:r>
        <w:t>8.2 试点完成后再决策事项</w:t>
      </w:r>
    </w:p>
    <w:p>
      <w:pPr>
        <w:pStyle w:val="ListBullet"/>
      </w:pPr>
      <w:r>
        <w:t>是否扩大范围或进入生产；须依据质量、公平性、解释性、客户影响、成本边界和审计证据再决策。</w:t>
      </w:r>
    </w:p>
    <w:p>
      <w:pPr>
        <w:pStyle w:val="ListBullet"/>
      </w:pPr>
      <w:r>
        <w:t>逾期率改善与ROI；在证据缺失前不得形成确定收益承诺。</w:t>
      </w:r>
    </w:p>
    <w:p>
      <w:pPr>
        <w:pStyle w:val="Heading1"/>
      </w:pPr>
      <w:r>
        <w:t>9. 附录</w:t>
      </w:r>
    </w:p>
    <w:p>
      <w:pPr>
        <w:pStyle w:val="Heading2"/>
      </w:pPr>
      <w:r>
        <w:t>9.1 受控事实基线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2016"/>
        <w:gridCol w:w="1584"/>
        <w:gridCol w:w="2160"/>
        <w:gridCol w:w="2016"/>
      </w:tblGrid>
      <w:tr>
        <w:trPr>
          <w:tblHeader w:val="true"/>
        </w:trPr>
        <w:tc>
          <w:tcPr>
            <w:tcW w:type="dxa" w:w="158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来源ID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主题</w:t>
            </w:r>
          </w:p>
        </w:tc>
        <w:tc>
          <w:tcPr>
            <w:tcW w:type="dxa" w:w="158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原始值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来源位置</w:t>
            </w:r>
          </w:p>
        </w:tc>
        <w:tc>
          <w:tcPr>
            <w:tcW w:type="dxa" w:w="20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限制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CASE-T1-R2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年申请量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24万件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正式事实表1第2行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模拟内部数据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CASE-T1-R3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平均人工审核时长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45分钟/件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正式事实表1第3行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模拟运营统计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CASE-T1-R4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当前12个月逾期率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5.8%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正式事实表1第4行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业务基线；不可归因于审核时长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CASE-T1-R6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试点周期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6个月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正式事实表1第6行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初版计划</w:t>
            </w:r>
          </w:p>
        </w:tc>
      </w:tr>
    </w:tbl>
    <w:p>
      <w:pPr>
        <w:spacing w:after="40"/>
      </w:pPr>
    </w:p>
    <w:p>
      <w:pPr>
        <w:pStyle w:val="Heading2"/>
      </w:pPr>
      <w:r>
        <w:t>9.2 证据边界</w:t>
      </w:r>
    </w:p>
    <w:p>
      <w:pPr>
        <w:pStyle w:val="ListBullet"/>
      </w:pPr>
      <w:r>
        <w:t>事实来源：03_智能信贷审批测试案例.docx，“二、正式事实”表1。</w:t>
      </w:r>
    </w:p>
    <w:p>
      <w:pPr>
        <w:pStyle w:val="ListBullet"/>
      </w:pPr>
      <w:r>
        <w:t>供应商主张：审核效率提升35%，尚未验证；原材料未提供区间。</w:t>
      </w:r>
    </w:p>
    <w:p>
      <w:pPr>
        <w:pStyle w:val="ListBullet"/>
      </w:pPr>
      <w:r>
        <w:t>待确认：模型对逾期率影响、ROI、五项成本纳入范围、分阶段日期及量化门槛。</w:t>
      </w:r>
    </w:p>
    <w:p>
      <w:pPr>
        <w:pStyle w:val="ListBullet"/>
      </w:pPr>
      <w:r>
        <w:t>输入格式异常：名为PDF的任务卡实际为XLSX；名为XLSX的记录表实际为DOCX。</w:t>
      </w:r>
    </w:p>
    <w:p>
      <w:pPr>
        <w:pStyle w:val="Heading2"/>
      </w:pPr>
      <w:r>
        <w:t>9.3 变更记录（历史值仅在本表保留）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1296"/>
        <w:gridCol w:w="1296"/>
        <w:gridCol w:w="1296"/>
        <w:gridCol w:w="3024"/>
        <w:gridCol w:w="1008"/>
      </w:tblGrid>
      <w:tr>
        <w:trPr>
          <w:tblHeader w:val="true"/>
        </w:trPr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修改项</w:t>
            </w:r>
          </w:p>
        </w:tc>
        <w:tc>
          <w:tcPr>
            <w:tcW w:type="dxa" w:w="12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历史值</w:t>
            </w:r>
          </w:p>
        </w:tc>
        <w:tc>
          <w:tcPr>
            <w:tcW w:type="dxa" w:w="12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当前值</w:t>
            </w:r>
          </w:p>
        </w:tc>
        <w:tc>
          <w:tcPr>
            <w:tcW w:type="dxa" w:w="12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证据</w:t>
            </w:r>
          </w:p>
        </w:tc>
        <w:tc>
          <w:tcPr>
            <w:tcW w:type="dxa" w:w="302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受影响位置</w:t>
            </w:r>
          </w:p>
        </w:tc>
        <w:tc>
          <w:tcPr>
            <w:tcW w:type="dxa" w:w="100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核验状态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预算上限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420万元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380万元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CHG-01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执行摘要、投入与收益、结论、PPT预算卡与待决策页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等线"/>
                <w:sz w:val="17"/>
              </w:rPr>
              <w:t>已复测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等线"/>
        <w:color w:val="595959"/>
        <w:sz w:val="16"/>
      </w:rPr>
      <w:t>教学模拟｜证据受控材料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等线"/>
        <w:color w:val="595959"/>
        <w:sz w:val="17"/>
      </w:rPr>
      <w:t>海岚消费金融公司｜智能信贷审批辅助项目｜T4-变更后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等线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等线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