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20"/>
        </w:rPr>
        <w:t>实验3｜Skill设计与测试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48"/>
        </w:rPr>
        <w:t>fintech-project-briefing Skill设计说明</w:t>
      </w:r>
    </w:p>
    <w:p>
      <w:pPr>
        <w:spacing w:after="240"/>
      </w:pPr>
      <w:r>
        <w:rPr>
          <w:rFonts w:ascii="Calibri" w:hAnsi="Calibri" w:eastAsia="Microsoft YaHei"/>
          <w:color w:val="667085"/>
          <w:sz w:val="24"/>
        </w:rPr>
        <w:t>从证据治理到管理层决策材料的可复用控制框架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组号：</w:t>
      </w:r>
      <w:r>
        <w:rPr>
          <w:rFonts w:ascii="Calibri" w:hAnsi="Calibri" w:eastAsia="Microsoft YaHei"/>
          <w:sz w:val="22"/>
        </w:rPr>
        <w:t>G21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组员姓名与学号：</w:t>
      </w:r>
      <w:r>
        <w:rPr>
          <w:rFonts w:ascii="Calibri" w:hAnsi="Calibri" w:eastAsia="Microsoft YaHei"/>
          <w:sz w:val="22"/>
        </w:rPr>
        <w:t>现有工作记录未提供；本文件不补造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材料性质：</w:t>
      </w:r>
      <w:r>
        <w:rPr>
          <w:rFonts w:ascii="Calibri" w:hAnsi="Calibri" w:eastAsia="Microsoft YaHei"/>
          <w:sz w:val="22"/>
        </w:rPr>
        <w:t>教学模拟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生成日期：</w:t>
      </w:r>
      <w:r>
        <w:rPr>
          <w:rFonts w:ascii="Calibri" w:hAnsi="Calibri" w:eastAsia="Microsoft YaHei"/>
          <w:sz w:val="22"/>
        </w:rPr>
        <w:t>2026-07-23</w:t>
      </w:r>
    </w:p>
    <w:p/>
    <w:p>
      <w:pPr>
        <w:pStyle w:val="Heading1"/>
      </w:pPr>
      <w:r>
        <w:t>一、设计目标与适用边界</w:t>
      </w:r>
    </w:p>
    <w:p>
      <w:r>
        <w:t>本Skill面向反欺诈、风控、合规、支付和信贷决策等金融科技项目。它解决的不是普通文案润色，而是把事实表、供应商材料、变更卡和模板转化为可追溯的Word/PPT/台账，并防止未经验证的效果进入管理层结论。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触发场景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应触发的原因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整理立项材料、生成立项报告与管理层汇报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需要证据分类、结构设计、文件生成和一致性核验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检查报告或PPT问题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需要按事实优先级诊断数字、风险、主张和披露缺口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预算、周期或范围发生变更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需要先做影响分析，再受控联动修改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非触发：诗歌、通用润色、无管理层决策的普通文档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不启动金融项目证据工作流</w:t>
            </w:r>
          </w:p>
        </w:tc>
      </w:tr>
    </w:tbl>
    <w:p>
      <w:pPr>
        <w:spacing w:after="0"/>
      </w:pPr>
    </w:p>
    <w:p>
      <w:pPr>
        <w:pStyle w:val="Heading1"/>
      </w:pPr>
      <w:r>
        <w:t>二、必需输入与缺失处理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300"/>
        <w:gridCol w:w="406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输入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用途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缺失处理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项目事实表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控制数字、单位、来源与事实标签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V1停止正式Word/PPT并输出缺失清单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供应商方案摘要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识别能力、效果主张、限制与成本排除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相关内容列为待确认，不补造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管理层变更卡（如有）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覆盖被明确调整的旧口径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不得根据口头印象替换正式值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Word/PPT模板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控制载体结构、版式与信息层级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先给结构计划；不虚构模板槽位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风险清单与口径说明（如有）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统一指标定义和最低风险覆盖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缺口进入问题台账并说明影响</w:t>
            </w:r>
          </w:p>
        </w:tc>
      </w:tr>
    </w:tbl>
    <w:p>
      <w:pPr>
        <w:spacing w:after="0"/>
      </w:pPr>
    </w:p>
    <w:p>
      <w:r>
        <w:t>缺失并不等于可以推断。预算、周期、ROI、效果阈值和风险结论若无正式来源，必须保留“待确认”。文件扩展名与真实格式不一致时，应先识别容器格式并记录异常，不能因文件名看似正确就直接处理。</w:t>
      </w:r>
    </w:p>
    <w:p>
      <w:pPr>
        <w:pStyle w:val="Heading1"/>
      </w:pPr>
      <w:r>
        <w:t>三、六步流程为何这样安排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4400"/>
        <w:gridCol w:w="386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步骤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核心动作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控制目的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1 证据分类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全文读取并为数字标记事实/供应商主张/假设/待确认/冲突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先建立事实边界，避免写作先行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2 问题诊断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按金额单位、跨文档冲突、风险遗漏、主张失真、版式排序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优先消除会误导审批的错误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3 结构设计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Word做详细分析，PPT做管理层决策路径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避免PPT机械复制Word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4 模板生成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从副本填充，保留来源ID和变更记录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确保可追溯且不覆盖源文件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5 一致性核验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逐项比对项目名、预算、周期、阶段、数据、风险和建议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防止跨文档漂移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6 金融披露核验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复核成本排除、主张区间、人工责任、风险和决策边界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防止治理缺口被成品外观掩盖</w:t>
            </w:r>
          </w:p>
        </w:tc>
      </w:tr>
    </w:tbl>
    <w:p>
      <w:pPr>
        <w:spacing w:after="0"/>
      </w:pPr>
    </w:p>
    <w:p>
      <w:pPr>
        <w:pStyle w:val="Heading1"/>
      </w:pPr>
      <w:r>
        <w:t>四、金融质量规则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供应商数字必须保留原始区间并标注“供应商主张，尚未验证”，不得取最优端改写为保证。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预算与周期分别占独立指标卡；变更只影响变更卡明确字段，其他事实和供应商主张不自动变化。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最低风险覆盖隐私、误报、漏报、解释性、漂移、审计、供应商依赖和客户争议；信贷场景再补公平、申诉、自动化偏误与人工审批责任。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模型只提供辅助判断，不承担最终拦截、拒绝授信、客户通知或合规责任。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预算正文披露内部人员、数据治理整改、长期运维、额外接口和退出迁移五项是否纳入。</w:t>
      </w:r>
    </w:p>
    <w:p>
      <w:pPr>
        <w:pStyle w:val="Heading1"/>
      </w:pPr>
      <w:r>
        <w:t>五、停止条件、输出与版本控制</w:t>
      </w:r>
    </w:p>
    <w:p>
      <w:r>
        <w:t>当事实基线缺失、正式来源冲突尚未解决，或用户限定为“只诊断”时，Skill必须停止正式文件生成。输出可包括事实—主张表、问题台账、结构计划、Word、PPT、变更影响清单和核验记录。所有修改另存版本，旧值只留在明确标识为历史的变更记录中。</w:t>
      </w:r>
    </w:p>
    <w:p>
      <w:pPr>
        <w:pStyle w:val="Heading1"/>
      </w:pPr>
      <w:r>
        <w:t>六、完成标准与实践判断</w:t>
      </w:r>
    </w:p>
    <w:p>
      <w:r>
        <w:t>完成不等于文件成功保存。必须证明占位符清零、数字可追溯、供应商效果标注完整、Word—PPT一致、旧口径正文清零、八类风险和五项成本边界已披露，且决策建议说清批多少、多久、先做什么、何时扩展、何时叫停。T1—T6实践进一步说明：严格停止能防止编造，但规则不能只依赖某一种文件载体；更稳健的设计应判断证据本身是否正式、可定位、含单位和限制，并在不降低门槛的前提下支持受控替代事实基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fldSimple w:instr="PAGE"/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085"/>
        <w:sz w:val="18"/>
      </w:rPr>
      <w:t>G21｜实验3｜Skill设计与测试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G21_实验3_Skill设计说明</dc:title>
  <dc:subject>G21 三次智能体实验提交物</dc:subject>
  <dc:creator>G21</dc:creator>
  <cp:keywords>教学模拟, 可追溯, 金融科技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