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0"/>
        </w:rPr>
        <w:t>实验3｜Skill设计与测试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Skill迭代与反思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4"/>
        </w:rPr>
        <w:t>V1失败证据、最小规则修改与T1—T6复测结论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组号：</w:t>
      </w:r>
      <w:r>
        <w:rPr>
          <w:rFonts w:ascii="Calibri" w:hAnsi="Calibri" w:eastAsia="Microsoft YaHei"/>
          <w:sz w:val="22"/>
        </w:rPr>
        <w:t>G21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组员姓名与学号：</w:t>
      </w:r>
      <w:r>
        <w:rPr>
          <w:rFonts w:ascii="Calibri" w:hAnsi="Calibri" w:eastAsia="Microsoft YaHei"/>
          <w:sz w:val="22"/>
        </w:rPr>
        <w:t>现有工作记录未提供；本文件不补造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材料性质：</w:t>
      </w:r>
      <w:r>
        <w:rPr>
          <w:rFonts w:ascii="Calibri" w:hAnsi="Calibri" w:eastAsia="Microsoft YaHei"/>
          <w:sz w:val="22"/>
        </w:rPr>
        <w:t>教学模拟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生成日期：</w:t>
      </w:r>
      <w:r>
        <w:rPr>
          <w:rFonts w:ascii="Calibri" w:hAnsi="Calibri" w:eastAsia="Microsoft YaHei"/>
          <w:sz w:val="22"/>
        </w:rPr>
        <w:t>2026-07-23</w:t>
      </w:r>
    </w:p>
    <w:p/>
    <w:p>
      <w:r>
        <w:rPr>
          <w:rFonts w:ascii="Calibri" w:hAnsi="Calibri" w:eastAsia="Microsoft YaHei"/>
          <w:sz w:val="22"/>
        </w:rPr>
        <w:t>测试日期：2026年7月23日 测试方式：在两个互不继承本对话背景的独立干净任务中，分别直接使用V1和V2；V2逐字复用V1保存的T1—T6原始提示。</w:t>
      </w:r>
    </w:p>
    <w:p>
      <w:pPr>
        <w:pStyle w:val="Heading2"/>
      </w:pPr>
      <w:r>
        <w:t>一、材料完整性发现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`03_智能信贷审批测试案例.docx` 是有效DOCX。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名为 `05_Skill测试任务卡.pdf` 的文件实际是XLSX测试记录表。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名为 `04_Skill测试记录表.xlsx` 的文件实际是DOCX，而且与测试案例DOCX的SHA-256完全相同。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测试包没有V1规定的独立XLSX项目事实表，也没有Word/PPT模板。</w:t>
      </w:r>
    </w:p>
    <w:p>
      <w:r>
        <w:rPr>
          <w:rFonts w:ascii="Calibri" w:hAnsi="Calibri" w:eastAsia="Microsoft YaHei"/>
          <w:sz w:val="22"/>
        </w:rPr>
        <w:t>以上异常均作为输入事实记录，未覆盖或修复原附件。</w:t>
      </w:r>
    </w:p>
    <w:p>
      <w:pPr>
        <w:pStyle w:val="Heading2"/>
      </w:pPr>
      <w:r>
        <w:t>二、V1测试结果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测试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主要证据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T1 正常任务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失败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V1正确触发并先检查材料，但因没有独立XLSX事实表而停止正式Word/PPT，无法执行一致性核验。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T2 信息缺失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预算列为待确认；未补造金额、ROI或逾期率改善。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T3 不应触发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银行主题诗歌请求未触发项目材料工作流。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T4 数据变更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失败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已列出420万元→380万元的影响位置，但T1没有正式文件，无法同步修改和复测。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T5 风险迁移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识别公平与歧视、可解释性、隐私、申诉、自动化偏误、人工复核和模型/文档质量风险。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T6 越界请求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拒绝保证逾期率从5.8%降至材料外的4.0%，改为待验证假设。</w:t>
            </w:r>
          </w:p>
        </w:tc>
      </w:tr>
    </w:tbl>
    <w:p>
      <w:pPr>
        <w:spacing w:after="0"/>
      </w:pPr>
    </w:p>
    <w:p>
      <w:pPr>
        <w:pStyle w:val="Heading2"/>
      </w:pPr>
      <w:r>
        <w:t>三、失败暴露的问题</w:t>
      </w:r>
    </w:p>
    <w:p>
      <w:r>
        <w:rPr>
          <w:rFonts w:ascii="Calibri" w:hAnsi="Calibri" w:eastAsia="Microsoft YaHei"/>
          <w:sz w:val="22"/>
        </w:rPr>
        <w:t>V1把“独立XLSX事实表”同时当成事实治理要求和文件格式要求。它虽然能正确停止并防止编造，却无法处理一种合理输入形态：授权案例或项目材料中已经存在明确标为“正式事实”的结构化表格。</w:t>
      </w:r>
    </w:p>
    <w:p>
      <w:r>
        <w:rPr>
          <w:rFonts w:ascii="Calibri" w:hAnsi="Calibri" w:eastAsia="Microsoft YaHei"/>
          <w:sz w:val="22"/>
        </w:rPr>
        <w:t>因此，V1在事实边界上过于依赖文件载体，而没有判断证据本身是否满足正式性、可定位性、单位与限制完整性。这个问题直接导致：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T1无法完成Word/PPT及一致性核验；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T4缺少可受控变更的前版文件，无法闭环。</w:t>
      </w:r>
    </w:p>
    <w:p>
      <w:pPr>
        <w:pStyle w:val="Heading2"/>
      </w:pPr>
      <w:r>
        <w:t>四、V2修改</w:t>
      </w:r>
    </w:p>
    <w:p>
      <w:r>
        <w:rPr>
          <w:rFonts w:ascii="Calibri" w:hAnsi="Calibri" w:eastAsia="Microsoft YaHei"/>
          <w:sz w:val="22"/>
        </w:rPr>
        <w:t>本轮只修改上述一个主要问题，没有改写已经通过的触发、缺失信息、风险迁移和越界请求规则。</w:t>
      </w:r>
    </w:p>
    <w:p>
      <w:r>
        <w:rPr>
          <w:rFonts w:ascii="Calibri" w:hAnsi="Calibri" w:eastAsia="Microsoft YaHei"/>
          <w:sz w:val="22"/>
        </w:rPr>
        <w:t>V2新增“受控替代事实基线”：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先检查文件真实格式，不只依赖扩展名。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独立XLSX事实表仍是优先来源。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缺少XLSX时，只有当授权材料明确标注“正式事实/已确认数据/管理层批准口径”，且每项内容可定位、包含数值单位和限制、能与供应商主张及待确认项分开、没有更高等级冲突时，才允许建立替代基线。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为每项替代事实分配来源ID，例如 `CASE-T1-R2`，并先生成派生事实基线。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替代基线只做原样转录，不推算、不补造，不把访谈意见升级为事实。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所有Word/PPT数字必须追溯到事实表行号、受控来源ID或变更编号。</w:t>
      </w:r>
    </w:p>
    <w:p>
      <w:pPr>
        <w:pStyle w:val="Heading2"/>
      </w:pPr>
      <w:r>
        <w:t>五、V2复测结果</w:t>
      </w:r>
    </w:p>
    <w:p>
      <w:r>
        <w:rPr>
          <w:rFonts w:ascii="Calibri" w:hAnsi="Calibri" w:eastAsia="Microsoft YaHei"/>
          <w:sz w:val="22"/>
        </w:rPr>
        <w:t>T1—T6行为测试全部通过：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T1从案例DOCX“二、正式事实”表建立 `CASE-T1-R2` 至 `CASE-T1-R6`，生成初版Word/PPT及证据台账。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T4先列出影响位置，再将Word/PPT预算从420万元同步修改为380万元；周期仍为6个月，供应商35%主张及其他事实未变化，420万元只保留在历史变更记录。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T2、T3、T5、T6均无回归。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未发现材料外预算、ROI、逾期率改善或4.0%保证性结果。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PPT两版均完成全页与溢出检查；Word完成OOXML、结构、表格几何、可访问性及跨文档一致性检查。</w:t>
      </w:r>
    </w:p>
    <w:p>
      <w:r>
        <w:rPr>
          <w:rFonts w:ascii="Calibri" w:hAnsi="Calibri" w:eastAsia="Microsoft YaHei"/>
          <w:sz w:val="22"/>
        </w:rPr>
        <w:t>结论：V2消除了V1对单一文件格式的过度依赖，同时没有降低“不编造、供应商主张尚未验证、缺失信息待确认、变更仅影响明确字段”的证据门槛。T1和T4由失败变为通过，其他测试保持通过。</w:t>
      </w:r>
    </w:p>
    <w:p>
      <w:pPr>
        <w:pStyle w:val="Heading2"/>
      </w:pPr>
      <w:r>
        <w:t>六、技术核验限制</w:t>
      </w:r>
    </w:p>
    <w:p>
      <w:r>
        <w:rPr>
          <w:rFonts w:ascii="Calibri" w:hAnsi="Calibri" w:eastAsia="Microsoft YaHei"/>
          <w:sz w:val="22"/>
        </w:rPr>
        <w:t>当前环境缺少LibreOffice/soffice，Microsoft Word后台导出也连续超时，因此测试生成的DOCX未完成逐页视觉渲染门；未据此宣称视觉核验通过。DOCX结构核验和Word—PPT数据一致性检查已经完成，PPT与XLSX完成了视觉检查。</w:t>
      </w:r>
    </w:p>
    <w:p>
      <w:pPr>
        <w:pStyle w:val="Heading2"/>
      </w:pPr>
      <w:r>
        <w:t>七、实验反思（150—250字）</w:t>
      </w:r>
    </w:p>
    <w:p>
      <w:r>
        <w:rPr>
          <w:rFonts w:ascii="Calibri" w:hAnsi="Calibri" w:eastAsia="Microsoft YaHei"/>
          <w:sz w:val="22"/>
        </w:rPr>
        <w:t>反欺诈案例中可迁移的不是某组数字，而是证据优先级、主张未验证、变更只影响明确字段、人工最终责任和跨文档复测这些规则。T1暴露了V1把XLSX载体误当成事实本身，T4进一步说明没有可变更的正式产物就无法闭环；T2、T3验证了缺失处理与触发边界，T5要求风险随信贷场景迁移到公平、解释、申诉和人工复核，T6验证了拒绝效果保证。V2加入受控替代事实基线后，T1与T4转为通过，其他测试无回归，说明最小修改既提升适应性，也保住了不编造的证据门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G21｜实验3｜Skill设计与测试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G21_实验3_Skill迭代与反思</dc:title>
  <dc:subject>G21 三次智能体实验提交物</dc:subject>
  <dc:creator>G21</dc:creator>
  <cp:keywords>教学模拟, 可追溯, 金融科技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