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D2.3.1 - Acceptance Test 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Acceptance 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Sérgio Soares, smcsoares20@gmail.com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Rascunho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Versions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v0.1, 20 de Novembro, Sérgio Soares, primeiro esboço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18 de Dezembro, Sérgio Soares, preenchimento definitivo da tabela de testes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18 de Dezembro, Rui Mota, explicitação do desenvolvimento dos testes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18 de Dezembro, Rui Mota, explicitação dos testes de aceitação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18 de Dezembro, Rui Mota, explicitação do erro encontrado</w:t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Published Versions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v1.0, 18 de Dezembro, versão publicada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Sérgio Soares(SS)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k28ycpvwz" w:id="0"/>
      <w:bookmarkEnd w:id="0"/>
      <w:r w:rsidDel="00000000" w:rsidR="00000000" w:rsidRPr="00000000">
        <w:rPr>
          <w:rtl w:val="0"/>
        </w:rPr>
        <w:t xml:space="preserve">Final results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65"/>
        <w:gridCol w:w="945"/>
        <w:gridCol w:w="585"/>
        <w:gridCol w:w="5535"/>
        <w:tblGridChange w:id="0">
          <w:tblGrid>
            <w:gridCol w:w="930"/>
            <w:gridCol w:w="1365"/>
            <w:gridCol w:w="945"/>
            <w:gridCol w:w="58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TC-06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Funcionalidade não implementada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Funcionalidade não implementada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Todos os testes aqui listados são referentes à lógica. Todas as componentes da lógica que foram implementadas passaram nos testes unitários propostos.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Os testes unitários da interface consistiram na verificação da ação resultante de cada clique no seu respectivo botão. Todas essas transições passaram nos testes.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Os testes unitários da comunicação consistiram no envio de “Requests” do lado da aplicação para o servidor e na devolução de um tipo de variável equivalente às que viriam a ser implementadas quando a lógica estivesse pronta para integração.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Relativamente aos testes de integração, foi aceite pelo cliente que, devido aos riscos que se manifestaram e às dificuldades encontradas, as horas que lhes estavam destinadas fossem  empregues na concretização de tarefas com maior prioridade.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Finalmente, atendendo à simplicidade da aplicação os testes de aceitação foram corridos de forma manual na fase final da aplicação, de forma a garantir que todas as “features” que foram implementada realmente </w:t>
      </w:r>
      <w:r w:rsidDel="00000000" w:rsidR="00000000" w:rsidRPr="00000000">
        <w:rPr>
          <w:rtl w:val="0"/>
        </w:rPr>
        <w:t xml:space="preserve">funcionavam</w:t>
      </w:r>
      <w:r w:rsidDel="00000000" w:rsidR="00000000" w:rsidRPr="00000000">
        <w:rPr>
          <w:rtl w:val="0"/>
        </w:rPr>
        <w:t xml:space="preserve"> da forma esperada.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Nestes testes, apenas foi identificado um pequeno bug onde quando se insere uma despesa num evento e o seu valor não começa por um dígito, a aplicação estoura(ex.: “.99”). Tudo decorre de forma normal se o valor inserido começar por um dígito.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1rPbKqA_hU__X5CmnsS4MpUoYv3VNT_mFXIW7N8fVP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