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6/11/2019,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equipa, Anotador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 ao cliente da especificação de requisitos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e arranque da reunião (2 min)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Alterações realizadas no EVA (2 min)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Progresso no documento ATP (4min)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Diagrama de Casos de Uso (7 min)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Casos de Uso (7 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Requisitos Funcionais (3 min)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Voltar a pensar sobre a arquitetura do projeto e se deve ser o servidor ou não a processar a lógica toda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eventos —&gt; requisitos para o conteudo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13/11/2019,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