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Times New Roman" w:hAnsi="Times New Roman" w:eastAsia="宋体" w:cs="宋体"/>
          <w:b/>
          <w:i w:val="0"/>
          <w:sz w:val="32"/>
        </w:rPr>
        <w:t>1997年亚洲金融危机与欧元区主权债务危机：机制比较与政策启示</w:t>
      </w:r>
    </w:p>
    <w:p>
      <w:pPr>
        <w:spacing w:line="360" w:lineRule="auto" w:after="0"/>
        <w:ind w:firstLine="420"/>
      </w:pPr>
      <w:r>
        <w:rPr>
          <w:rFonts w:ascii="Times New Roman" w:hAnsi="Times New Roman" w:eastAsia="宋体"/>
          <w:b w:val="0"/>
          <w:sz w:val="21"/>
        </w:rPr>
        <w:t>摘要：本文比较分析1997年亚洲金融危机与2010—2018年欧元区主权债务危机，考察二者在脆弱性积累、冲击传导、恐慌扩散与政策应对方面的机制异同，并将其与美国1907年银行恐慌、1929—1933年大萧条及2007—2009年全球金融危机置于同一历史脉络中对照。两场危机均发生在金融深化与跨境资本流动加速的背景下，但嵌入的制度约束不同：亚洲危机突出固定汇率、短期外债攀升及银行体系货币错配与期限错配的相互强化；欧元区危机则体现为不完备货币联盟下“统一货币—分散财政”的结构矛盾，以及主权信用重定价与本国银行资产负债表之间的负向反馈。政策应对上，二者均凸显最后贷款人、问题机构处置、存款与融资稳定机制及预期管理的关键作用，但亚洲更多依赖汇率调整、IMF框架下的官方融资与各国差异化的银行重组，欧元区则经历从财政紧缩到EFSF/ESM区域救助、2012年OMT承诺及此后量化宽松和银行业联盟建设的渐进补建。跨案例比较表明，重大金融危机虽形态各异，却反复呈现“繁荣期脆弱性积累—局部冲击触发重定价—恐慌沿融资网络扩散—实体衰退加深”的演化链条；识别并打断负向反馈环，比简单复制某一历史案例的政策模板更为根本。</w:t>
      </w:r>
    </w:p>
    <w:p>
      <w:pPr>
        <w:spacing w:line="360" w:lineRule="auto" w:after="0"/>
        <w:ind w:firstLine="0"/>
      </w:pPr>
      <w:r>
        <w:rPr>
          <w:rFonts w:ascii="Times New Roman" w:hAnsi="Times New Roman" w:eastAsia="宋体"/>
          <w:b w:val="0"/>
          <w:sz w:val="21"/>
        </w:rPr>
        <w:t>关键词：金融脆弱性；金融自由化；货币危机；主权债务危机；最后贷款人；传染</w:t>
      </w:r>
    </w:p>
    <w:p>
      <w:r>
        <w:rPr>
          <w:rFonts w:ascii="Times New Roman" w:hAnsi="Times New Roman" w:eastAsia="宋体"/>
          <w:b/>
          <w:sz w:val="24"/>
        </w:rPr>
        <w:t>第一部分  1997年亚洲金融危机</w:t>
      </w:r>
    </w:p>
    <w:p w14:paraId="29AF9293">
      <w:pPr>
        <w:spacing w:before="120" w:after="120"/>
        <w:ind w:firstLine="0"/>
      </w:pPr>
      <w:r>
        <w:rPr>
          <w:rFonts w:ascii="宋体" w:hAnsi="宋体" w:eastAsia="宋体" w:cs="宋体"/>
          <w:b/>
          <w:i w:val="0"/>
          <w:sz w:val="21"/>
        </w:rPr>
        <w:t>一、危机前的东亚：增长、自由化与不可持续的金融结构</w:t>
      </w:r>
    </w:p>
    <w:p w14:paraId="072F26DF">
      <w:pPr>
        <w:spacing w:before="120" w:after="120"/>
        <w:ind w:firstLine="0"/>
      </w:pPr>
      <w:r>
        <w:rPr>
          <w:rFonts w:ascii="宋体" w:hAnsi="宋体" w:eastAsia="宋体" w:cs="宋体"/>
          <w:b/>
          <w:i w:val="0"/>
          <w:sz w:val="21"/>
        </w:rPr>
        <w:t>1.1 高增长与外部融资的共生</w:t>
      </w:r>
    </w:p>
    <w:p w14:paraId="69AEA2A1">
      <w:r>
        <w:rPr>
          <w:rFonts w:ascii="宋体" w:hAnsi="宋体" w:eastAsia="宋体" w:cs="宋体"/>
          <w:b w:val="0"/>
          <w:i w:val="0"/>
          <w:sz w:val="21"/>
        </w:rPr>
        <w:t>1985年至1996年间，东亚多个经济体实现了持续的高速增长</w:t>
      </w:r>
      <w:r>
        <w:rPr>
          <w:rFonts w:hint="eastAsia" w:cs="宋体"/>
          <w:b w:val="0"/>
          <w:i w:val="0"/>
          <w:sz w:val="21"/>
          <w:lang w:eastAsia="zh-CN"/>
        </w:rPr>
        <w:t>，</w:t>
      </w:r>
      <w:r>
        <w:rPr>
          <w:rFonts w:ascii="宋体" w:hAnsi="宋体" w:eastAsia="宋体" w:cs="宋体"/>
          <w:b w:val="0"/>
          <w:i w:val="0"/>
          <w:sz w:val="21"/>
        </w:rPr>
        <w:t>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w:t>
      </w:r>
      <w:r>
        <w:rPr>
          <w:rFonts w:hint="eastAsia" w:cs="宋体"/>
          <w:b w:val="0"/>
          <w:i w:val="0"/>
          <w:sz w:val="21"/>
          <w:lang w:eastAsia="zh-CN"/>
        </w:rPr>
        <w:t>、</w:t>
      </w:r>
      <w:r>
        <w:rPr>
          <w:rFonts w:hint="eastAsia" w:cs="宋体"/>
          <w:b w:val="0"/>
          <w:i w:val="0"/>
          <w:sz w:val="21"/>
          <w:lang w:val="en-US" w:eastAsia="zh-CN"/>
        </w:rPr>
        <w:t>韩国</w:t>
      </w:r>
      <w:r>
        <w:rPr>
          <w:rFonts w:ascii="宋体" w:hAnsi="宋体" w:eastAsia="宋体" w:cs="宋体"/>
          <w:b w:val="0"/>
          <w:i w:val="0"/>
          <w:sz w:val="21"/>
        </w:rPr>
        <w:t>约为</w:t>
      </w:r>
      <w:r>
        <w:rPr>
          <w:rFonts w:hint="eastAsia" w:cs="宋体"/>
          <w:b w:val="0"/>
          <w:i w:val="0"/>
          <w:sz w:val="21"/>
          <w:lang w:val="en-US" w:eastAsia="zh-CN"/>
        </w:rPr>
        <w:t>4</w:t>
      </w:r>
      <w:r>
        <w:rPr>
          <w:rFonts w:ascii="宋体" w:hAnsi="宋体" w:eastAsia="宋体" w:cs="宋体"/>
          <w:b w:val="0"/>
          <w:i w:val="0"/>
          <w:sz w:val="21"/>
        </w:rPr>
        <w:t>%。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根本性错配：一是货币错配，即收入与资产以本币计价，而负债以外币计价；二是期限错配，即短期负债支持长期、低流动性资产。这两种错配在经济高速增长时期往往不被充分识别，一旦本币贬值或外资拒绝展期，借款人净值与银行资本将在短时间内受到严重冲击。</w:t>
      </w:r>
    </w:p>
    <w:p w14:paraId="5F3C63FE">
      <w:pPr>
        <w:spacing w:before="120" w:after="120"/>
        <w:ind w:firstLine="0"/>
      </w:pPr>
      <w:r>
        <w:rPr>
          <w:rFonts w:ascii="宋体" w:hAnsi="宋体" w:eastAsia="宋体" w:cs="宋体"/>
          <w:b/>
          <w:i w:val="0"/>
          <w:sz w:val="21"/>
        </w:rPr>
        <w:t>1.2 金融自由化、固定汇率与隐性担保</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Demirgüç-Kunt和Detragiache，1999）。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pPr>
        <w:rPr>
          <w:rFonts w:ascii="宋体" w:hAnsi="宋体" w:eastAsia="宋体" w:cs="宋体"/>
          <w:b w:val="0"/>
          <w:i w:val="0"/>
          <w:sz w:val="21"/>
        </w:rPr>
      </w:pPr>
      <w:r>
        <w:rPr>
          <w:rFonts w:ascii="宋体" w:hAnsi="宋体" w:eastAsia="宋体" w:cs="宋体"/>
          <w:b w:val="0"/>
          <w:i w:val="0"/>
          <w:sz w:val="21"/>
        </w:rPr>
        <w:t>到1996年，脆弱性指标已相当清晰。泰国的短期外债规模已接近甚至超过外汇储备，印度尼西亚与菲律宾的外部脆弱性亦明显上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40984BE5">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029200" cy="25146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029200" cy="2514600"/>
                    </a:xfrm>
                    <a:prstGeom prst="rect">
                      <a:avLst/>
                    </a:prstGeom>
                    <a:noFill/>
                    <a:ln>
                      <a:noFill/>
                    </a:ln>
                  </pic:spPr>
                </pic:pic>
              </a:graphicData>
            </a:graphic>
          </wp:inline>
        </w:drawing>
      </w:r>
    </w:p>
    <w:p w14:paraId="5256483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1</w:t>
      </w:r>
      <w:r>
        <w:rPr>
          <w:rFonts w:ascii="宋体" w:hAnsi="宋体" w:eastAsia="宋体" w:cs="宋体"/>
          <w:b w:val="0"/>
          <w:i w:val="0"/>
          <w:sz w:val="21"/>
        </w:rPr>
        <w:t xml:space="preserve"> 1990—1997年泰国、韩国、印度尼西亚短期外债与外汇储备之比</w:t>
      </w:r>
    </w:p>
    <w:p w14:paraId="3381C7CE">
      <w:pPr>
        <w:spacing w:before="120" w:after="120"/>
        <w:ind w:firstLine="0"/>
      </w:pPr>
      <w:r>
        <w:rPr>
          <w:rFonts w:ascii="宋体" w:hAnsi="宋体" w:eastAsia="宋体" w:cs="宋体"/>
          <w:b/>
          <w:i w:val="0"/>
          <w:sz w:val="21"/>
        </w:rPr>
        <w:t>二、危机的爆发与扩散：从泰国到区域性崩溃</w:t>
      </w:r>
    </w:p>
    <w:p w14:paraId="61F7F059">
      <w:pPr>
        <w:spacing w:before="120" w:after="120"/>
        <w:ind w:firstLine="0"/>
      </w:pPr>
      <w:r>
        <w:rPr>
          <w:rFonts w:ascii="宋体" w:hAnsi="宋体" w:eastAsia="宋体" w:cs="宋体"/>
          <w:b/>
          <w:i w:val="0"/>
          <w:sz w:val="21"/>
        </w:rPr>
        <w:t>2.1 泰国：第一代与第二代货币危机模型的交汇</w:t>
      </w:r>
    </w:p>
    <w:p w14:paraId="1E77C33A">
      <w:r>
        <w:rPr>
          <w:rFonts w:ascii="宋体" w:hAnsi="宋体" w:eastAsia="宋体" w:cs="宋体"/>
          <w:b w:val="0"/>
          <w:i w:val="0"/>
          <w:sz w:val="21"/>
        </w:rPr>
        <w:t>1997年2月，泰国</w:t>
      </w:r>
      <w:r>
        <w:rPr>
          <w:rFonts w:hint="eastAsia" w:cs="宋体"/>
          <w:b w:val="0"/>
          <w:i w:val="0"/>
          <w:sz w:val="21"/>
          <w:lang w:val="en-US" w:eastAsia="zh-CN"/>
        </w:rPr>
        <w:t>大型房地产开发商</w:t>
      </w:r>
      <w:r>
        <w:rPr>
          <w:rFonts w:ascii="宋体" w:hAnsi="宋体" w:eastAsia="宋体" w:cs="宋体"/>
          <w:b w:val="0"/>
          <w:i w:val="0"/>
          <w:sz w:val="21"/>
        </w:rPr>
        <w:t>Somprasong Development宣布无法偿还债务，标志着房地产繁荣的实质性终结。市场开始重新评估泰国金融公司与商业银行的资产质量，对泰铢维持现有钉住水平的信心随之动摇。1997年5月，泰国财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w:t>
      </w:r>
      <w:r>
        <w:rPr>
          <w:rFonts w:hint="eastAsia" w:cs="宋体"/>
          <w:b w:val="0"/>
          <w:i w:val="0"/>
          <w:sz w:val="21"/>
          <w:lang w:val="en-US" w:eastAsia="zh-CN"/>
        </w:rPr>
        <w:t>牵头</w:t>
      </w:r>
      <w:r>
        <w:rPr>
          <w:rFonts w:ascii="宋体" w:hAnsi="宋体" w:eastAsia="宋体" w:cs="宋体"/>
          <w:b w:val="0"/>
          <w:i w:val="0"/>
          <w:sz w:val="21"/>
        </w:rPr>
        <w:t>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 xml:space="preserve">2.2 </w:t>
      </w:r>
      <w:r>
        <w:rPr>
          <w:rFonts w:hint="eastAsia" w:cs="宋体"/>
          <w:b/>
          <w:i w:val="0"/>
          <w:sz w:val="21"/>
          <w:lang w:val="en-US" w:eastAsia="zh-CN"/>
        </w:rPr>
        <w:t>危机的</w:t>
      </w:r>
      <w:r>
        <w:rPr>
          <w:rFonts w:ascii="宋体" w:hAnsi="宋体" w:eastAsia="宋体" w:cs="宋体"/>
          <w:b/>
          <w:i w:val="0"/>
          <w:sz w:val="21"/>
        </w:rPr>
        <w:t>传染、韩国与印度尼西亚的深度危机</w:t>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不难以理解，其渠道至少包括三方面：其一，共同持有区域资产的国际投资者在面对不确定性上升时，往往同步削减整个新兴亚洲敞口，而非精细区分各国基本面；其二，一国货币贬值会降低其出口品相对价格，使贸易联系紧密的邻国出口企业面临更大竞争压力；市场由此形成邻国跟进贬值的预期，进而触发竞争性贬值的连锁反应；其三，信息不完全条件下，一国银行或主权问题会被投资者解读为对整个东亚模式的否定，从而触发更大范围的资本外流。</w:t>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pPr>
        <w:rPr>
          <w:rFonts w:ascii="宋体" w:hAnsi="宋体" w:eastAsia="宋体" w:cs="宋体"/>
          <w:b w:val="0"/>
          <w:i w:val="0"/>
          <w:sz w:val="21"/>
        </w:rPr>
      </w:pPr>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依靠经济模型的政策设计都难以充分把握其复杂性。</w:t>
      </w:r>
    </w:p>
    <w:p w14:paraId="5367331C">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3225" cy="3359785"/>
            <wp:effectExtent l="0" t="0" r="317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483225" cy="3359785"/>
                    </a:xfrm>
                    <a:prstGeom prst="rect">
                      <a:avLst/>
                    </a:prstGeom>
                    <a:noFill/>
                    <a:ln>
                      <a:noFill/>
                    </a:ln>
                  </pic:spPr>
                </pic:pic>
              </a:graphicData>
            </a:graphic>
          </wp:inline>
        </w:drawing>
      </w:r>
    </w:p>
    <w:p w14:paraId="0268C76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2</w:t>
      </w:r>
      <w:r>
        <w:rPr>
          <w:rFonts w:ascii="宋体" w:hAnsi="宋体" w:eastAsia="宋体" w:cs="宋体"/>
          <w:b w:val="0"/>
          <w:i w:val="0"/>
          <w:sz w:val="21"/>
        </w:rPr>
        <w:t xml:space="preserve"> 泰国、韩国、印度尼西亚、马来西亚与菲律宾名义有效汇率指数</w:t>
      </w:r>
    </w:p>
    <w:p w14:paraId="5787569C">
      <w:pPr>
        <w:spacing w:before="120" w:after="120"/>
        <w:ind w:firstLine="0"/>
      </w:pPr>
      <w:r>
        <w:rPr>
          <w:rFonts w:ascii="宋体" w:hAnsi="宋体" w:eastAsia="宋体" w:cs="宋体"/>
          <w:b/>
          <w:i w:val="0"/>
          <w:sz w:val="21"/>
        </w:rPr>
        <w:t>2.3 平息：重组、救助与差异化路径</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解释。</w:t>
      </w:r>
    </w:p>
    <w:p w14:paraId="150197DF">
      <w:pPr>
        <w:spacing w:before="120" w:after="120"/>
        <w:ind w:firstLine="0"/>
      </w:pPr>
      <w:r>
        <w:rPr>
          <w:rFonts w:ascii="宋体" w:hAnsi="宋体" w:eastAsia="宋体" w:cs="宋体"/>
          <w:b/>
          <w:i w:val="0"/>
          <w:sz w:val="21"/>
        </w:rPr>
        <w:t>三、政策应对及其两难</w:t>
      </w:r>
    </w:p>
    <w:p w14:paraId="4795ADDB">
      <w:pPr>
        <w:spacing w:before="120" w:after="120"/>
        <w:ind w:firstLine="0"/>
      </w:pPr>
      <w:r>
        <w:rPr>
          <w:rFonts w:ascii="宋体" w:hAnsi="宋体" w:eastAsia="宋体" w:cs="宋体"/>
          <w:b/>
          <w:i w:val="0"/>
          <w:sz w:val="21"/>
        </w:rPr>
        <w:t>3.1 货币政策：捍卫汇率与维持国内金融稳定之间的冲突</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参照：当银行体系本身成为冲击对象时，传统货币政策传导机制将显著受阻。</w:t>
      </w:r>
    </w:p>
    <w:p w14:paraId="245F553A">
      <w:pPr>
        <w:spacing w:before="120" w:after="120"/>
        <w:ind w:firstLine="0"/>
      </w:pPr>
      <w:r>
        <w:rPr>
          <w:rFonts w:ascii="宋体" w:hAnsi="宋体" w:eastAsia="宋体" w:cs="宋体"/>
          <w:b/>
          <w:i w:val="0"/>
          <w:sz w:val="21"/>
        </w:rPr>
        <w:t>3.2 财政政策与金融重组的财政成本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传递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由此可见，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3.3 银行监管、存款担保与国际救助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pPr>
        <w:rPr>
          <w:rFonts w:ascii="宋体" w:hAnsi="宋体" w:eastAsia="宋体" w:cs="宋体"/>
          <w:b w:val="0"/>
          <w:i w:val="0"/>
          <w:sz w:val="21"/>
        </w:rPr>
      </w:pPr>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28EAB020">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5130" cy="3065145"/>
            <wp:effectExtent l="0" t="0" r="1270"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485130" cy="3065145"/>
                    </a:xfrm>
                    <a:prstGeom prst="rect">
                      <a:avLst/>
                    </a:prstGeom>
                    <a:noFill/>
                    <a:ln>
                      <a:noFill/>
                    </a:ln>
                  </pic:spPr>
                </pic:pic>
              </a:graphicData>
            </a:graphic>
          </wp:inline>
        </w:drawing>
      </w:r>
    </w:p>
    <w:p w14:paraId="3A74C667">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b w:val="0"/>
          <w:i w:val="0"/>
          <w:sz w:val="21"/>
          <w:lang w:eastAsia="zh-CN"/>
        </w:rPr>
      </w:pPr>
      <w:r>
        <w:rPr>
          <w:rFonts w:hint="eastAsia" w:cs="宋体"/>
          <w:b w:val="0"/>
          <w:i w:val="0"/>
          <w:sz w:val="21"/>
          <w:lang w:val="en-US" w:eastAsia="zh-CN"/>
        </w:rPr>
        <w:t xml:space="preserve">图3 </w:t>
      </w:r>
      <w:r>
        <w:rPr>
          <w:rFonts w:ascii="宋体" w:hAnsi="宋体" w:eastAsia="宋体" w:cs="宋体"/>
          <w:b w:val="0"/>
          <w:i w:val="0"/>
          <w:sz w:val="21"/>
        </w:rPr>
        <w:t>1995—1999年泰国、韩国、印度尼西亚、马来西亚实际GDP同比增速</w:t>
      </w:r>
      <w:r>
        <w:rPr>
          <w:rFonts w:hint="eastAsia" w:cs="宋体"/>
          <w:b w:val="0"/>
          <w:i w:val="0"/>
          <w:sz w:val="21"/>
          <w:lang w:eastAsia="zh-CN"/>
        </w:rPr>
        <w:t>（</w:t>
      </w:r>
      <w:r>
        <w:rPr>
          <w:rFonts w:hint="eastAsia" w:cs="宋体"/>
          <w:b w:val="0"/>
          <w:i w:val="0"/>
          <w:sz w:val="21"/>
          <w:lang w:val="en-US" w:eastAsia="zh-CN"/>
        </w:rPr>
        <w:t>%</w:t>
      </w:r>
      <w:r>
        <w:rPr>
          <w:rFonts w:hint="eastAsia" w:cs="宋体"/>
          <w:b w:val="0"/>
          <w:i w:val="0"/>
          <w:sz w:val="21"/>
          <w:lang w:eastAsia="zh-CN"/>
        </w:rPr>
        <w:t>）</w:t>
      </w:r>
    </w:p>
    <w:p w14:paraId="3FD6D524">
      <w:pPr>
        <w:spacing w:before="120" w:after="120"/>
        <w:ind w:firstLine="0"/>
      </w:pPr>
      <w:r>
        <w:rPr>
          <w:rFonts w:ascii="宋体" w:hAnsi="宋体" w:eastAsia="宋体" w:cs="宋体"/>
          <w:b/>
          <w:i w:val="0"/>
          <w:sz w:val="21"/>
        </w:rPr>
        <w:t>四、成因机制：货币、银行与国际因素的交织</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Minsky，1986）。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依据。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表现十分明显。</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代表性的案例之一。</w:t>
      </w:r>
    </w:p>
    <w:p w14:paraId="3DEDD39E">
      <w:pPr>
        <w:spacing w:before="120" w:after="120"/>
        <w:ind w:firstLine="0"/>
      </w:pPr>
      <w:r>
        <w:rPr>
          <w:rFonts w:ascii="宋体" w:hAnsi="宋体" w:eastAsia="宋体" w:cs="宋体"/>
          <w:b/>
          <w:i w:val="0"/>
          <w:sz w:val="21"/>
        </w:rPr>
        <w:t>五、小结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pPr>
        <w:rPr>
          <w:rFonts w:ascii="宋体" w:hAnsi="宋体" w:eastAsia="宋体" w:cs="宋体"/>
          <w:b w:val="0"/>
          <w:i w:val="0"/>
          <w:sz w:val="21"/>
        </w:rPr>
      </w:pPr>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p>
    <w:p w14:paraId="388DB5DD">
      <w:pPr>
        <w:rPr>
          <w:rFonts w:ascii="宋体" w:hAnsi="宋体" w:eastAsia="宋体" w:cs="宋体"/>
          <w:b w:val="0"/>
          <w:i w:val="0"/>
          <w:sz w:val="21"/>
        </w:rPr>
      </w:pPr>
    </w:p>
    <w:p>
      <w:r>
        <w:rPr>
          <w:rFonts w:ascii="Times New Roman" w:hAnsi="Times New Roman" w:eastAsia="宋体"/>
          <w:b/>
          <w:sz w:val="24"/>
        </w:rPr>
        <w:t>第二部分  欧元区主权债务危机</w:t>
      </w:r>
    </w:p>
    <w:p w14:paraId="6EFCF7B3">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一、欧元区制度安排的内在张力与危机前的失衡积累</w:t>
      </w:r>
    </w:p>
    <w:p w14:paraId="79B7814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要理解欧元区主权债务危机的根源，首先需要回到欧元区制度安排本身。1999 年欧元区正式启动之时，建立了一个介于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完全主权国家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完全联邦化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之间的特殊结构：货币与货币政策统一由欧洲中央银行体系（ESCB）掌管，资本可在成员国之间自由流动，但财政、税收与发债权仍然完整地保留在各成员国层面，仅由《稳定与增长公约》（SGP）以</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3% 赤字、60% 债务</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两项数字指标作软性约束。这种</w:t>
      </w:r>
      <w:bookmarkStart w:id="0" w:name="OLE_LINK1"/>
      <w:r>
        <w:rPr>
          <w:rFonts w:hint="eastAsia" w:ascii="宋体" w:hAnsi="宋体" w:eastAsia="宋体" w:cs="宋体"/>
          <w:kern w:val="0"/>
          <w:sz w:val="21"/>
          <w:szCs w:val="22"/>
          <w14:ligatures w14:val="none"/>
        </w:rPr>
        <w:t>“</w:t>
      </w:r>
      <w:bookmarkEnd w:id="0"/>
      <w:r>
        <w:rPr>
          <w:rFonts w:ascii="宋体" w:hAnsi="宋体" w:eastAsia="宋体" w:cs="宋体"/>
          <w:kern w:val="0"/>
          <w:sz w:val="21"/>
          <w:szCs w:val="22"/>
          <w14:ligatures w14:val="none"/>
        </w:rPr>
        <w:t>货币一体化—财政分散化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的安排被一些观察者称为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不完整的货币联盟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（Lane，2012；De Grauwe，2013）。它在常态下运行良好——单一货币降低了跨境交易成本、统一央行的可信度为通胀治理提供了锚定——但在危机状态下，它使任何单一成员国陷入困境时既无法利用货币工具，也无法获得来自货币联盟层面的对等支持。</w:t>
      </w:r>
    </w:p>
    <w:p w14:paraId="0FE6F5A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这种结构上的不对称，必然伴随着三项关键制度的缺失。第一，缺乏共同的最后贷款人。</w:t>
      </w:r>
      <w:r>
        <w:rPr>
          <w:rFonts w:hint="eastAsia" w:ascii="宋体" w:hAnsi="宋体" w:eastAsia="宋体" w:cs="宋体"/>
          <w:kern w:val="0"/>
          <w:sz w:val="21"/>
          <w:szCs w:val="22"/>
          <w14:ligatures w14:val="none"/>
        </w:rPr>
        <w:t>根据</w:t>
      </w:r>
      <w:r>
        <w:rPr>
          <w:rFonts w:ascii="宋体" w:hAnsi="宋体" w:eastAsia="宋体" w:cs="宋体"/>
          <w:kern w:val="0"/>
          <w:sz w:val="21"/>
          <w:szCs w:val="22"/>
          <w14:ligatures w14:val="none"/>
        </w:rPr>
        <w:t>1907 年美国金融恐慌的</w:t>
      </w:r>
      <w:r>
        <w:rPr>
          <w:rFonts w:hint="eastAsia" w:ascii="宋体" w:hAnsi="宋体" w:eastAsia="宋体" w:cs="宋体"/>
          <w:kern w:val="0"/>
          <w:sz w:val="21"/>
          <w:szCs w:val="22"/>
          <w14:ligatures w14:val="none"/>
        </w:rPr>
        <w:t>启示</w:t>
      </w:r>
      <w:r>
        <w:rPr>
          <w:rFonts w:ascii="宋体" w:hAnsi="宋体" w:eastAsia="宋体" w:cs="宋体"/>
          <w:kern w:val="0"/>
          <w:sz w:val="21"/>
          <w:szCs w:val="22"/>
          <w14:ligatures w14:val="none"/>
        </w:rPr>
        <w:t>，强大的中央银行作为最后贷款人是稳定金融体系的关键。欧元区在欧洲央行体系下统一了欧元，但并没有制度化的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主权国最后贷款人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——欧央行在 2010—2011 年间多次明确表示不会对主权国家提供直接的信用支持，直到 2012 年下半年才转变立场。第二，缺乏财政层面的转移机制。美国在 2008 年危机中可以通过联邦财政救助受困州政府，德国的联邦财政在国内区域失衡中充当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自动稳定器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，而欧元区整体缺乏对等的安排：欧委会预算不到欧元区 GDP 的 1%，这意味着希腊发生危机时其他成员国无法通过自动转移来缓冲。第三，缺乏共同债券。美国财政部可以通过发行国债协调全美流动性，欧元债券则因德国等北方国家政治上的反对而长期处于讨论状态。这三项缺失共同构成了危机发生的制度土壤。</w:t>
      </w:r>
    </w:p>
    <w:p w14:paraId="2A69F8E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理解欧元区脆弱性的关键，还在于分析加入欧元区对成员国意味着什么。从希腊、爱尔兰、葡萄牙、西班牙等</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边缘国家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的视角看，加入欧元区事实上是一次剧烈的金融自由化过程。最直观的表现是利率环境的剧烈收敛：希腊主权债收益率从 1998 年的约 8% 降至 2005 年的约 3.5%，与德国基本持平，相当于一次暴力版的"利率自由化"，使得希腊政府、企业和消费者以接近德国的利率借入欧元计价的资金。从更深的层面看，这种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伪自由化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改变的是整个金融体系的激励结构——当资金价格被显著压低，金融机构倾向于将资金投向不能承担相应风险的项目，</w:t>
      </w:r>
      <w:r>
        <w:rPr>
          <w:rFonts w:hint="eastAsia" w:ascii="宋体" w:hAnsi="宋体" w:eastAsia="宋体" w:cs="宋体"/>
          <w:kern w:val="0"/>
          <w:sz w:val="21"/>
          <w:szCs w:val="22"/>
          <w14:ligatures w14:val="none"/>
        </w:rPr>
        <w:t>也就是</w:t>
      </w:r>
      <w:r>
        <w:rPr>
          <w:rFonts w:ascii="宋体" w:hAnsi="宋体" w:eastAsia="宋体" w:cs="宋体"/>
          <w:kern w:val="0"/>
          <w:sz w:val="21"/>
          <w:szCs w:val="22"/>
          <w14:ligatures w14:val="none"/>
        </w:rPr>
        <w:t>金融自由化加剧逆向选择的</w:t>
      </w:r>
      <w:r>
        <w:rPr>
          <w:rFonts w:hint="eastAsia" w:ascii="宋体" w:hAnsi="宋体" w:eastAsia="宋体" w:cs="宋体"/>
          <w:kern w:val="0"/>
          <w:sz w:val="21"/>
          <w:szCs w:val="22"/>
          <w14:ligatures w14:val="none"/>
        </w:rPr>
        <w:t>逻辑</w:t>
      </w:r>
      <w:r>
        <w:rPr>
          <w:rFonts w:ascii="宋体" w:hAnsi="宋体" w:eastAsia="宋体" w:cs="宋体"/>
          <w:kern w:val="0"/>
          <w:sz w:val="21"/>
          <w:szCs w:val="22"/>
          <w14:ligatures w14:val="none"/>
        </w:rPr>
        <w:t>。</w:t>
      </w:r>
    </w:p>
    <w:p w14:paraId="3E7F9B5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 xml:space="preserve">这种激励扭曲在 </w:t>
      </w:r>
      <w:bookmarkStart w:id="1" w:name="OLE_LINK2"/>
      <w:r>
        <w:rPr>
          <w:rFonts w:ascii="宋体" w:hAnsi="宋体" w:eastAsia="宋体" w:cs="宋体"/>
          <w:kern w:val="0"/>
          <w:sz w:val="21"/>
          <w:szCs w:val="22"/>
          <w14:ligatures w14:val="none"/>
        </w:rPr>
        <w:t>PIIGS 国家</w:t>
      </w:r>
      <w:bookmarkEnd w:id="1"/>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欧猪五国</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表现为两种典型的资产泡沫。一种是房地产泡沫，爱尔兰、西班牙、希腊都经历了程度不同的房地产价格快速上涨。1999—2007 年间，爱尔兰实际房价累计上涨约 150%，西班牙上涨约 90%，希腊上涨约 65%（BIS，2011）。爱尔兰银行业在这一时期将房地产按揭贷款规模翻倍，西班牙银行向建筑业贷款规模在同期翻了 5 倍。另一种是政府债务扩张与公共部门膨胀，希腊政府债务与 GDP 的比率从 2001 年的 103.4% 缓慢攀升至 2008 年的 113.7%，同时公共部门工资占财政支出比例持续高于欧元区平均水平。两种泡沫背后都有清晰的资金来源：跨境银行敞口。2008 年底，法国、德国、瑞士银行体系合计持有 PIIGS 主权债约 1.7 万亿欧元（Acharya 与 Steffen，2015），而希腊、爱尔兰、西班牙本国银行体系对外部融资的依赖度也在 2002—2009 年间显著上升，希腊外部负债占总负债比例从约 50% 升至约 68%。</w:t>
      </w:r>
    </w:p>
    <w:p w14:paraId="4076A953">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伴随资产泡沫的是内部竞争力的持续失衡。从 2000 年到 2010 年，希腊单位劳动力成本累计上涨约 38%，而德国基本持平，西班牙上涨约 33%。单位劳动力成本的反向运动意味着希腊实际有效汇率在货币联盟内部不断升值，然而希腊没有名义汇率工具可以使用——加入欧元区意味着放弃独立的货币政策和汇率政策，无法通过本币贬值来恢复竞争力，也无法通过独立的扩张性货币政策刺激经济。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内强外弱</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的竞争力格局，与不断扩大的经常账户赤字形成镜像：希腊经常账户逆差占 GDP 比例从 2000 年的 -7.5% 恶化至 2008 年的 -14.7%，同期德国经常账户由约 -1.7% 改善至 +6.2%。这种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北部—南部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分化并非偶然，而是欧元区内部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低成本借款—高成本借款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机制必然产生的结构性结果。</w:t>
      </w:r>
    </w:p>
    <w:p w14:paraId="234ABDC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到 2008 年，脆弱性指标已相当显著，但是市场纪律仍然没有起到约束作用。其原因正是金融自由化的内在矛盾：在一段时期内，跨境资本大量流入 PIIGS 国，压抑了主权债收益率的利差，使这些国家能够在不需要支付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主权溢价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的情况下大量融资。2008 年初，希腊与德国 10 年期国债收益率利差仅约 30 个基点，与 1998 年的约 250 个基点相比压缩了近 10 倍。市场纪律的失灵意味着欧元区的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约束机制在常态下低效，在危机状态下非线性失效。一旦外部冲击到来，跨境资本流入会迅速逆转为跨境资本流出，原本被低估的主权风险会在短期内急剧重估。</w:t>
      </w:r>
    </w:p>
    <w:p w14:paraId="105AF4C4">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2008 年全球金融危机的冲击在初期表现为对欧元区银行体系的冲击：欧洲银行因持有美国次贷相关证券受到资本损失，跨境银行间市场出现紧缩。但 2008—2009 年间，欧元区银行体系的资本重组和美联储、欧央行的非常规流动性操作暂时稳住了局面。然而，危机的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第二波</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并非来自国际金融市场的进一步恶化，而是 PIIGS 国家资产负债表问题的暴露。2009 年 10 月希腊新任政府公布财政赤字占 GDP 比例为 12.7%，是其前任政府公布数字 3.7% 的三倍以上，希腊财政数据的可信度问题由此浮出水面。这一披露成为欧元区主权债务危机的直接导火索。从长期不可持续金融结构的形成到 2008 年外部冲击揭开资产负债表问题，再到 2009 年希腊数据公布触发市场恐慌——这一过程在路径上与 1997 年亚洲金融危机的演化高度同构。</w:t>
      </w:r>
    </w:p>
    <w:p w14:paraId="0C6CCE8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二、危机的爆发、深化与平息：从希腊到区域系统性危机</w:t>
      </w:r>
    </w:p>
    <w:p w14:paraId="7B5FE8AE">
      <w:pPr>
        <w:rPr>
          <w:rFonts w:hint="eastAsia" w:ascii="宋体" w:hAnsi="宋体" w:eastAsia="宋体" w:cs="宋体"/>
          <w:b/>
          <w:kern w:val="0"/>
          <w:sz w:val="21"/>
          <w:szCs w:val="22"/>
          <w14:ligatures w14:val="none"/>
        </w:rPr>
      </w:pPr>
      <w:r>
        <w:rPr>
          <w:rFonts w:hint="eastAsia" w:ascii="宋体" w:hAnsi="宋体" w:eastAsia="宋体" w:cs="宋体"/>
          <w:b/>
          <w:kern w:val="0"/>
          <w:sz w:val="21"/>
          <w:szCs w:val="22"/>
          <w14:ligatures w14:val="none"/>
        </w:rPr>
        <w:t>2.1 引爆期</w:t>
      </w:r>
    </w:p>
    <w:p w14:paraId="453B19C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危机的第一阶段是希腊的引爆期，时间大致从 2009 年 10 月到 2010 年 5 月。2009 年 12 月，三大评级机构（标普、穆迪、惠誉）连续三次将希腊主权评级下调至垃圾级，希腊主权债收益率在不到四个月间从约 4% 飙升至 8% 以上，单一主权评级的降级本身就可以触发市场恐慌，因为机构投资者通常被合同约束不得持有低于投资级的债券。下调的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是恐慌传染的重要加速器。在希腊内部，银行持有大量本国主权债，当主权评级下调时，银行资产端缩水，资本充足率下降，融资成本上升。这种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的反馈环与 2008 年美国次贷危机中次贷相关证券价格下降触发银行资本损失的机制完全同构。2010 年 2 月，欧元区各方就希腊救助达成原则性共识；4 月 23 日希腊正式申请金融援助；5 月 2 日欧元区与 IMF 联合提供 1100 亿欧元三年期救助，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三驾马车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（欧盟委员会、欧央行、IMF）的救助模式由此开端。</w:t>
      </w:r>
    </w:p>
    <w:p w14:paraId="0757FAB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希腊危机的传导速度很快。爱尔兰在 2010 年 11 月申请 850 亿欧元救助，与希腊的情形不同，爱尔兰危机主要是银行体系的危机——六家大银行在房地产泡沫崩塌后面临资本重组压力，政府被迫以国家信用承接银行损失。这种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银行危机演化为主权危机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的路径在危机演化中具有典型意义，它说明主权风险可以由银行体系问题反向触发，而不仅来自财政本身的问题。葡萄牙在 2011 年 4 月也申请 780 亿欧元救助，葡萄牙危机则呈现第三种典型形态：财政赤字问题在危机前已经累积，危机只是触发因素而非根本原因。三种不同的初始形态（希腊主因为财政，爱尔兰主因为银行，葡萄牙两者皆有）说明 PIIGS 国家虽然一同陷入危机，但是危机源头具有重要的内部差异，这一点对后文讨论政策选择的差异化至关重要。</w:t>
      </w:r>
    </w:p>
    <w:p w14:paraId="0F41CAD1">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2.2 深化期</w:t>
      </w:r>
    </w:p>
    <w:p w14:paraId="553A5D7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危机的第二阶段是 2011 年 6 月到 2012 年 6 月的深化期。这一阶段体现了金融脆弱性的全面释放和恐慌传导。金融市场的恐慌有几个相互强化的渠道。第一，主权评级下调的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顺周期效应</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持续升级，2011 年下半年希腊半年内又被多次降级，西班牙从 AA 跌至 BBB，意大利于 2011 年 9 月陷入主权债收益率快速上升的动荡。第二，银行间市场出现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回购冻结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，类似 2008 年美国的情形，欧元区银行间市场使用希腊、意大利、西班牙主权债作为抵押品的市场在 2011 年 9—11 月陷入流动性危机，因为抵押品折扣率随主权评级下降而上升，使得原本可以循环使用的抵押融资难以继续滚动。第三，跨境银行敞口的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互相踩踏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逐步显现：法国巴黎银行、意大利联合圣保罗银行大量持有 PIIGS 主权债，导致自身资本充足率下降，进而在欧元区银行间拆借中要求对手方提供更多抵押品，这种行为本身又进一步恶化了欧元区银行间的流动性条件。第四，公共债务的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始显现：希腊 10 年期国债收益率于 2012 年中一度超过 30%（年化成本），按此利率滚动到期债务基本不可能偿付，债务可持续性问题从中期转变为准短期，市场的这种预期本身进一步推高收益率，形成负向螺旋。</w:t>
      </w:r>
    </w:p>
    <w:p w14:paraId="3B20FC18">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这一阶段被国际社会普遍认为是欧元区最接近</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的时期。多项改革在压力下推进。2011 年 7 月和 10 月的两次欧元区领导人峰会将欧洲金融稳定机制（EFSF）的规模和用途升级，决定将其放贷能力扩大至约 1 万亿欧元；12 月欧盟签署</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，规定结构性赤字不超过 GDP 的 0.5%；2012 年 2 月欧元区财长就第二轮希腊救助（PSI 私人部门参与减记 53.5%，规模 1300 亿欧元）达成协议。但这些改革措施并未立即缓解市场恐慌，因为它们的核心问题是不解决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缺少最后贷款人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的制度短板。</w:t>
      </w:r>
    </w:p>
    <w:p w14:paraId="7B73F85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危机化解的关键节点出现在 2012 年下半年。2012 年 7 月 26 日，欧洲央行行长马里奥·德拉吉在伦敦全球投资会议上发表后来被广泛引用的演讲，承诺 ECB 将</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不惜一切代价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维护欧元。学术界普遍认为这是危机化解的关键拐点，因为这一承诺从边际上改变了市场对最坏情形的预期。9 月 6 日 ECB 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直接货币交易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（OMT），允许在严格附加条件下无限量购买欧元区成员国 1—3 年期主权债；同月德国宪法法院裁定 ESM（取代 EFSF 的永久机制，总规模 5000 亿欧元）合法，扫除制度障碍。这两项措施共同构成了市场期待已久的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欧元区主权债最后贷款人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角色——尽管 OMT 启动后并未实际大规模购入，但承诺的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已经足以改变市场预期。2013 年 6 月塞浦路斯发生银行危机与救助，市场恐慌短暂复发，但因 OMT 已具有约束力，迅速平息。</w:t>
      </w:r>
    </w:p>
    <w:p w14:paraId="4155E83F">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2.3 复苏期</w:t>
      </w:r>
    </w:p>
    <w:p w14:paraId="2B0AF05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危机的第三阶段是 2013 年 7 月到 2018 年 8 月的缓慢复苏期，主要政策工具从非常规的针对性救助转向大规模量化宽松。2013 年 7 月 ECB 将主要再融资利率下调至 0.5%。2014 年 6 月 ECB 推出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定向长期再融资操作</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（TLTRO），将低成本流动性定向引导至银行体系，旨在使资金传导到实体经济。2015 年 1 月 22 日 ECB 启动大规模量化宽松（QE），初期每月购入 600 亿欧元成员国主权债与机构债，这一规模在 2016 年 3 月被扩大至每月 800 亿欧元。QE 累计购债规模最终超过 2.6 万亿欧元，显著压低了欧元区整体主权债收益率——德国 10 年期国债收益率在 2016 年降至 0.04%，并在 2019 年部分时段转负。但 QE 的副作用是主权债收益率被压低至接近或低于结构性均衡水平，对银行盈利和养老金体系造成二次冲击。</w:t>
      </w:r>
    </w:p>
    <w:p w14:paraId="5DB3A94D">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2015 年 6—7 月希腊的政治危机短暂打断了复苏进程。激进左翼联盟（Syriza）执政后，其总理齐普拉斯与债权人之间就紧缩条件展开对峙，市场再度担心希腊可能退出欧元区（Grexit）。最终双方达成</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第三次救助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协议，规模 860 亿欧元，附带严厉的财政整顿与结构性改革条件。这次对峙造成的损失是显著的——希腊银行体系临时关闭三周，资本管制限制了居民存款的提取，GDP 在 2015 年再度收缩。2017 年 6 月 IMF 在评估希腊债务可持续性时承认需要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重大减免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以恢复债务可持续性，欧元区财长随后同意了相应的债务重组方案。2018 年 8 月 20 日希腊正式退出 ESM 救助计划，标志着危机的官方终结。</w:t>
      </w:r>
    </w:p>
    <w:p w14:paraId="24A2C19C">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2.4 危机总览</w:t>
      </w:r>
    </w:p>
    <w:p w14:paraId="5072CB6F">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回顾这场危机的时间线，可以看到清晰的传导规律：从希腊（2010.05）到爱尔兰（2010.11）、葡萄牙（2011.04）、西班牙银行业（2012.06）、塞浦路斯（2013.03）——危机历时约 8 年才真正平息。这一规律的核心不是危机在时间上的延迟，而是制度演化与市场恐慌之间的赛跑：每一次市场恐慌升级都会推动制度改良（EFSF→ESM→OMT→QE→银行业联盟），而每一次制度改良又会降低下一次恐慌的烈度。最终整个演化路径可以概括为：在主权评级下调、银行间市场冻结、跨境银行敞口踩踏、公共债务自我实现四个反馈环共同作用下，危机从单一国家蔓延至整个 PIIGS 区域，再通过市场预期渠道传染至意大利；OMT 等制度承诺建立后，传导链被切断，危机进入长期、低烈度的复苏阶段。这一规律与 1997 年亚洲危机高度相似——泰国触发、韩国与印尼深化、各国差异化复苏。</w:t>
      </w:r>
    </w:p>
    <w:p w14:paraId="3506425C">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危机的总成本是巨大的。希腊 GDP 在 2008—2013 年累计下降约 26%，爱尔兰、西班牙、葡萄牙和意大利均出现多年 GDP 负增长。希腊失业率在 2013 年 7 月达到 27.9%，青年失业率超过 50%。希腊政府债务与 GDP 的比率从 2009 年的 126.7% 一度上升至 2015 年的 176.6%——紧缩政策推高了这一比率，因为分母 GDP 在收缩而财政整顿未能有效降低分子。社会层面的代价同样不容忽视：希腊出现了 10 年间约 50 万人口外流的情况，许多高素质青年与中产专业人士选择移居他国，给本国经济留下了长期的人力资本缺口。这些代价，是欧元区设计时未能预计到的金融脆弱性最终兑现的价格。</w:t>
      </w:r>
    </w:p>
    <w:p w14:paraId="4C2C9EC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三、政策应对：四线并进中的两难与协同</w:t>
      </w:r>
    </w:p>
    <w:p w14:paraId="66D3626C">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欧元区对主权债务危机的应对可以沿四条线分别梳理：货币政策、财政政策、救助机</w:t>
      </w:r>
      <w:r>
        <w:t>制与</w:t>
      </w:r>
      <w:r>
        <w:rPr>
          <w:rFonts w:ascii="宋体" w:hAnsi="宋体" w:eastAsia="宋体" w:cs="宋体"/>
          <w:kern w:val="0"/>
          <w:sz w:val="21"/>
          <w:szCs w:val="22"/>
          <w14:ligatures w14:val="none"/>
        </w:rPr>
        <w:t>监管改革。这四条线并非相互独立，而是在反复博弈中共同形成一个政策组合，每个阶段具有不同的侧重点，又始终存在内在张力。</w:t>
      </w:r>
    </w:p>
    <w:p w14:paraId="5673C34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货币政策经历了三个明显阶段。第一阶段（2010—2011 年）以传统再融资利率和有限的非常规工具为主。ECB 在 2011 年 4—7 月间将主要再融资利率从 1.25% 上调至 1.5%，并在 2010 年 5 月启动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证券市场计划</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（SMP），累计购入约 2100 亿欧元 PIIGS 主权债（其中意大利约 1020 亿、西班牙约 440 亿）。SMP 规模相对有限，且在 2011 年 8—11 月危机深化期暂停操作，导致市场对 ECB 稳定器作用的信心下降。第二阶段（2012—2014 年）以 OMT 的承诺信号与 TLTRO 的定向支持为核心。2012 年 9 月推出的 OMT 实质上是一种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未启用的无限量 QE</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——它被设计为后备武器，承诺只要成员国接受救助条件、ECB 就可以无限量购入其主权债。关键在于这一承诺的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改变了市场对最坏情形的预期，使得 2012 年下半年起 PIIGS 国债收益率利差持续收窄（De Grauwe，2013）。TLTRO（2014 年 6 月）则以低成本定向为银行提供长期资金，目的是使资金通过银行体系传导到实体经济。第三阶段（2015—2018 年）则是大规模 QE。2015 年 1 月 ECB 启动资产购买计划（APP），每月购入 600 亿欧元，到 2016 年扩大至每月 800 亿欧元，累计购债规模超过 2.6 万亿欧元，将欧元区主权债收益率压至历史性低位。需要强调的是，欧元区 QE 与美联储 QE 的一个关键差异在于：美联储 QE 主要购买机构 MBS，对主权债的关注有限；而 ECB QE 直接购买成员国主权债，这在政治上意味着欧元区央行承担了部分主权债的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角色，加深了与成员国的财政关联——这与欧元区条约对央行独立性的规定存在张力，但是危机治理的需要事实上超越了这种法律上的张力。</w:t>
      </w:r>
    </w:p>
    <w:p w14:paraId="3217E9F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财政政策则呈现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紧缩为主基调、救助为变奏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的特征。危机期间欧元区财长与欧洲理事会在紧缩与救助之间反复拉锯，这种拉锯可以分成三个回合。2010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第一回合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中，希腊、爱尔兰、葡萄牙在申请救助时都被迫接受严厉的紧缩条件，三国财政赤字与 GDP 的比率在 2010—2014 年分别下降约 6、7、6 个百分点。2012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的签订，欧盟成员国承诺实施严格的财政规则，结构性赤字不超过 GDP 的 0.5%。2013—2015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 vs 增长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之争达到顶峰：以欧委会与德国为代表的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和以 IMF、美国为代表的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增长派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形成分化。IMF 内部研究（Blanchard 与 Leigh，2013）承认其对希腊财政乘数的预测严重偏低，意味着实际紧缩造成的产出下降远超预期。从结果看，紧缩政策对希腊和葡萄牙产出造成的损失远大于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无紧缩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假设（Blyth，2013）。但紧缩派反驳说，没有紧缩成员国就无法获得低成本救助，最终整个欧元区会面临更大的道德风险。这一争论本质上是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的权衡——在不完全的货币联盟中，这种权衡变得更难以解决，因为政治家与公众对</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谁付出代价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的高度敏感使任何救助都伴随政治阻力。</w:t>
      </w:r>
    </w:p>
    <w:p w14:paraId="5A777AC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救助机制展现了从临时性双边贷款到永久机制的演变。欧元区在 2010—2012 年间先后建立了三层救援网络。第一层是临时性双边贷款（2010—2013 年，1100 亿欧元给希腊），是权宜之计但效率低、政治成本高。第二层是欧洲金融稳定机制 EFSF（2010—2012 年，最大放贷能力 1 万亿欧元），以 SPV 形式发行债券，向爱尔兰、葡萄牙、希腊第二次救助（1300 亿欧元）、以及西班牙银行业（上限 1000 亿欧元）提供资金。第三层是欧洲稳定机制 ESM（2012 年 10 月设立，总规模 5000 亿欧元），是永久性国际金融机构，以成员国认缴资本（合计 7000 亿欧元，初始放贷能力 5000 亿欧元）为担保发行债券，被视为欧元区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角色的雏形。ESM 的建立具有标志性意义，它意味着欧元区在长期缺乏主权国最后贷款人之后，终于有了制度化的对应物——尽管 ESM 附带的严格条件（财政整顿、结构性改革、外部审计）使它与真正意义上的中央银行最后贷款人仍有差距。</w:t>
      </w:r>
    </w:p>
    <w:p w14:paraId="34ADFA29">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监管改革则催生了几项根本性的制度建设。银行业联盟（Banking Union）由三大支柱组成：单一监管机制（SSM，2014 年 11 月实施，由 ECB 直接监管约 130 家大型银行）、单一清算机制（SRM，2016 年 1 月实施，建立清算基金 550 亿欧元）、以及欧洲存款保险计划（EDIS）。银行业联盟是对银行与主权</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死亡螺旋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问题最直接的制度回应——它试图通过统一监管和统一清算切断两者间的反馈环。欧洲系统性风险委员会（ESRB，2011 年成立）负责宏观审慎监管。此外，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六项规则包</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强化了 SGP 框架的财政约束。这些改革虽然开创性但并不完整——EDIS 仍待立法、ESM 直接重组银行的能力仍受限、财政联盟仍未建立、资本市场联盟（CMU）仍处于早期阶段。</w:t>
      </w:r>
    </w:p>
    <w:p w14:paraId="1162D6E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总体看，欧元区政策应对在四个维度都做了实质性推进，但效果呈现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的特征。多轮博弈的成本是显著的——从 2010 年首次救助到 2018 年希腊退出 ESM，危机治理经历了三次主要协议、两次希腊救助、一次 PSI 减记、一次 ECB 政策转向，这种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摸着石头过河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式的政策路径使得危机被延长且付出了不必要的代价。政策不对称性突出——货币政策做得较多而财政政策做得较少，欧元区核心国家对任何形式的债务共担高度敏感，使得紧缩成为唯一可用的财政工具。结构性改革也不彻底——财政联盟、共同债券、欧洲货币基金（EMF）等更深层次议题至今仍在讨论阶段而未有决定性进展。这些经验共同提示，在一个货币联盟中，危机治理需要政治意愿与制度建设协同推进，单纯的中央银行承诺虽然能在短期内稳定市场，但是中长期的根本性问题仍然需要政治层面的解决方案。</w:t>
      </w:r>
    </w:p>
    <w:p w14:paraId="2B572785">
      <w:pPr>
        <w:rPr>
          <w:rFonts w:hint="eastAsia" w:ascii="宋体" w:hAnsi="宋体" w:eastAsia="宋体" w:cs="宋体"/>
          <w:b/>
          <w:kern w:val="0"/>
          <w:sz w:val="21"/>
          <w:szCs w:val="22"/>
          <w14:ligatures w14:val="none"/>
        </w:rPr>
      </w:pPr>
      <w:r>
        <w:rPr>
          <w:rFonts w:ascii="宋体" w:hAnsi="宋体" w:eastAsia="宋体" w:cs="宋体"/>
          <w:b/>
          <w:kern w:val="0"/>
          <w:sz w:val="21"/>
          <w:szCs w:val="22"/>
          <w14:ligatures w14:val="none"/>
        </w:rPr>
        <w:t>四、成因分析：货币、银行与国际因素的交织</w:t>
      </w:r>
    </w:p>
    <w:p w14:paraId="4993DFE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对欧元区主权债务危机成因的理解，不应简化为若干因素的并列罗列，而应将其视为多重机制在同一时间窗口内相互强化的结果。以下按四个机制分层展开。</w:t>
      </w:r>
    </w:p>
    <w:p w14:paraId="4901587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第一个层面是制度安排本身的内生脆弱性。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的货币联盟结构在欧元区设计时就具有根本性的不对称——欧元区成员国的发债能力与其自身的货币政策能力严重不匹配。理论上，欧元区预期通过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约束成员国，但市场纪律在常态下失灵，在危机状态下又过度敏感——2000—2008 年间 PIIGS 国债收益率长期低估主权风险，2009 年后又过度敏感使主权债收益率飙升到不可持续水平（De Grauwe，2013）。这种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压力敏感性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是危机爆发的根本性制度原因。在完全主权国家中，主权风险主要由本国央行可以通过印钞或改变基准利率加以缓冲，而在欧元区，PIIGS 国家失去了这一工具，危机就只能通过财政紧缩、银行体系重组和外部救助来应对——这三种方式都需要政治意愿与时间，使得调整过程远比完全主权国家漫长。</w:t>
      </w:r>
    </w:p>
    <w:p w14:paraId="53AAB16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第二个层面是金融自由化在欧元区的特殊形态及其激化作用。金融自由化对脆弱性的激化至少通过四条渠道实现。第一，利率收敛效应：2001—2008 年 PIIGS 国债收益率与德国收敛至 30—100 个基点，相当于把借款成本压低到接近核心国家水平。这与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利率自由化在长期压抑后会形成虚假低成本信用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逻辑完全一致——希腊、爱尔兰、西班牙的私人部门信贷与 GDP 的比率在同期分别上升了约 90、80、60 个百分点。第二，跨境银行敞口的扩张：2008 年底法国、德国、瑞士银行体系合计持有 PIIGS 主权债约 1.7 万亿欧元（Acharya 与 Steffen，2015），这些敞口原本被风险权重低的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隐含国家信用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保护，危机后主权信用恶化导致银行资产负债表同步恶化。第三，金融自由化的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逆向选择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：在廉价资金流入的环境下，PIIGS 银行倾向于投资高风险、高收益的国内项目，资金并未流向高生产率行业，这与课上讲到的利率自由化加剧逆向选择的逻辑一致。第四，跨境资本流动的顺周期性：危机时外资撤出 PIIGS 国家国债市场，加剧了收益率利差的扩张，这种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资本市场开放加速脆弱性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的现象是 1997 年亚洲危机和欧元区危机共同的内在机制。</w:t>
      </w:r>
    </w:p>
    <w:p w14:paraId="5663B74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第三个层面是货币危机、银行危机与债务危机的耦合。欧元区主权债务危机最值得研究的是三类危机的耦合机制，这种耦合正是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恐慌从某类资产传染到银行间市场再到实体经济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逻辑的扩展。可以识别四条耦合路径：主权向银行的传染——希腊银行持有大量本国主权债，当主权评级下调时银行资产端缩水、融资成本上升；银行向主权的传染——当西班牙银行 2012 年 6 月陷入危机时，西班牙政府不得不提供 1000 亿欧元救助，这种救助推高了西班牙政府债务预期，使主权评级承压；主权向主权的传染——跨境银行共同持有 PIIGS 主权债，希腊危机中法国巴黎银行、意大利联合圣保罗银行的资产负债表同时承压，引发了意大利主权债抛售；货币联盟的反馈环——在统一货币下，欧元是所有成员国的发债单位，希腊危机时欧元汇率下行，进一步影响所有成员国货币政策，而希腊本国无法通过货币贬值来缓冲。这一耦合机制解释了为什么欧元区危机如此难以治理——单独救助银行或单独救助主权都不够，必须同时处理整个</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的反馈环。这种机制是欧元区相对于美国次贷危机的关键差异——美国的财政转移机制和美联储的全球最后贷款人地位可以更容易地打破反馈环，而欧元区缺乏对等的制度工具。</w:t>
      </w:r>
    </w:p>
    <w:p w14:paraId="4A7AB48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第四个层面是道德风险与恐慌的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。道德风险在危机中扮演了双重角色。事前道德风险方面，成员国在加入欧元区时存在过度举债激励——因为欧洲央行作为最后贷款人，理论上保证了成员国的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准发钞能力</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。然而 2010—2012 年 ECB 拒绝承担该角色，揭示了道德风险并不必然会导致危机，关键在于危机来临时是否被惩罚。事后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恐慌方面，危机开始后市场担心希腊退出欧元区（Grexit）的预期使主权债收益率飙升，使希腊实际融资成本远高于可持续水平——这种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自我实现的预期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是债务危机难以脱离</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紧缩—衰退—财政恶化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循环的根本原因。De Grauwe 与 Ji（2013）的研究表明，PIIGS 国家的国债收益率利差在很大程度上是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的均衡结果，即使基本面没有显著恶化，市场恐慌也可以使利差达到不可持续的水平。这一机制与 1997 年亚洲危机中国际投资者对泰铢的预期推动贬值完全同构。</w:t>
      </w:r>
    </w:p>
    <w:p w14:paraId="606C461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国际因素在放大机制中也扮演重要角色。三大评级机构（标普、穆迪、惠誉）对 PIIGS 主权评级累计降级超过 70 次，每次降级都触发抵押品折扣率上升、机构投资者强制去杠杆——评级机构的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行为是恐慌的加速器而非减速器。媒体预期同样具有反馈效应——2011 年 9—11 月德国媒体大量报道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欧元可能解体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，引发零售客户大规模提取欧元以外的资产，进一步压低欧元汇率。Kindleberger（1978）和 Allen 与 Gale（2000）所描述的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恐慌传染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机制，在欧元区危机中表现尤为显著：恐慌的根源是信息不对称——当市场无法区分基本面恶化与暂时性流动性紧张时，会在恐慌时把所有 PIIGS 资产视为同质进行抛售。这种按区域整体抛售的方式，与亚洲危机中新兴亚洲资产被同步减持具有相似的逻辑——Brunnermeier 等（2016）的研究指出，欧元区危机中国际投资者的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按区域调整风险敞口</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行为放大了恐慌。</w:t>
      </w:r>
    </w:p>
    <w:p w14:paraId="34C95F7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综合以上四个层面，欧元区主权债务危机的成因可以归纳为：欧元区制度设计的不完整性（缺少共同财政、共同最后贷款人、共同债券）是危机的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；2008 年全球金融危机冲击是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外因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；金融自由化带来的廉价信贷、跨境银行敞口、评级下调的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、道德风险等机制将冲击放大为系统危机；主权—银行—货币的耦合与恐慌传染使危机从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阶段性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演变为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长期性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。这四个层面相互交织、不可分割——单一说明任何一个层面都不足以解释危机的深度、广度与持续性。</w:t>
      </w:r>
    </w:p>
    <w:p w14:paraId="74E5BE89">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值得一提的是，欧元区危机与 1997 年亚洲危机在机制上具有同构性，但在制度背景上有重大差异。亚洲危机发生在中等收入国家，金融自由化速度快、监管能力建设慢；欧元区危机则发生在高收入货币联盟内部，制度架构相对成熟但具有内生不对称。两者在金融自由化过程中普遍出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利率低估—信贷扩张—资产泡沫—资产负债表恶化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机制上是相似的。亚洲危机的解决方案（IMF 救助 + 银行重组 + 部分资本管制）对欧元区具有参考价值，但欧元区的特殊性意味着部分方案（如建立银行业联盟、设立永久性的 ESM）只能在欧元区内部完成。这一比较视角对理解危机的本质具有重要意义：金融危机在发生学机制上具有跨案例的相似性，但是每一次危机的具体形态都是制度结构、外部环境与政策选择共同作用的结果。</w:t>
      </w:r>
    </w:p>
    <w:p w14:paraId="2CCB8907">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五、小结与启示</w:t>
      </w:r>
    </w:p>
    <w:p w14:paraId="1754A3B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欧元区主权债务危机是 21 世纪以来欧洲面临的最严峻的金融稳定挑战。从 2009 年希腊财政数据披露到 2018 年希腊正式退出 ESM 救助计划，这场危机历时约 9 年，跨越多次反复，对欧元区经济体、金融体系、政治格局与一体化进程都产生了深远的影响。</w:t>
      </w:r>
    </w:p>
    <w:p w14:paraId="251A6D7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危机暴露的核心问题是欧元区制度架构的不完整性。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结构在常态下运行良好，但在危机状态下使成员国既无法利用货币工具，又无法获得共同财政支持，这种结构性矛盾是危机长期化的根本原因。危机同时暴露了欧元区在最后贷款人、共同债券、银行业联盟等方面的制度短板，催生了一系列根本性改革——ESM 的建立、SSM/SRM 的落地、OMT 与 QE 的实施——这些改革虽然不完整，但意味着欧元区的金融稳定架构已经显著强于危机前。这些改革的制度价值，需要更长时间才能完整显现。</w:t>
      </w:r>
    </w:p>
    <w:p w14:paraId="01E645F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从成因机制上看，欧元区主权债务危机的爆发具有突然性，但是根源在于制度结构与外部冲击的共同作用：欧元区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的内在不对称、金融自由化背景下的廉价信贷与跨境银行敞口、PIIGS 国家内部竞争力失衡与财政赤字的累积，这些长期因素加上 2008 年全球金融危机的外部冲击、跨境评级下调和媒体预期等加速器，使得危机在短期内剧烈爆发，并通过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的反馈环向外扩散。这一综合性的成因机制，使得任何单一层面的政策都不足以应对，必须有多维度协同。</w:t>
      </w:r>
    </w:p>
    <w:p w14:paraId="7A172FD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从政策应对上看，欧元区应对在四条战线上都做了实质性推进，但效果呈现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Whatever it takes</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演讲到 OMT、再到 QE，再到银行业联盟，欧元区决策层在反复博弈中逐步建立制度安排，但是改革始终滞后于市场恐慌的需要，使得危机被延长且付出了不必要的代价。这种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治理时滞</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是欧元区需要长期面对的挑战，财政联盟、共同债券等深层次议题的进展将是观察欧元区未来是否真正构建完成的重要信号。</w:t>
      </w:r>
    </w:p>
    <w:p w14:paraId="596F4D5B">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从根本上说，欧元区主权债务危机是一面镜子——它照出了货币联盟在没有财政联盟支撑时的脆弱性，也照出了金融自由化在制度不健全条件下的高风险。对这场危机的研究价值，并不在于简单地说</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欧元区出了什么问题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在于通过分析说明危机的发生学机制，提示其他经济体在金融自由化、货币联盟建设、金融稳定政策协调中需要长期应对的挑战。这种挑战并不会因为危机暂时平复而消失，反而会随着下一次冲击的到来再次凸显其重要性。</w:t>
      </w:r>
    </w:p>
    <w:p>
      <w:pPr>
        <w:spacing w:line="360" w:lineRule="auto" w:after="120" w:before="240"/>
        <w:ind w:firstLine="0"/>
      </w:pPr>
      <w:r>
        <w:rPr>
          <w:rFonts w:ascii="Times New Roman" w:hAnsi="Times New Roman" w:eastAsia="宋体"/>
          <w:b/>
          <w:sz w:val="24"/>
        </w:rPr>
        <w:t>第三部分  跨案例比较与总结</w:t>
      </w:r>
    </w:p>
    <w:p>
      <w:pPr>
        <w:spacing w:line="360" w:lineRule="auto" w:after="120" w:before="240"/>
        <w:ind w:firstLine="0"/>
      </w:pPr>
      <w:r>
        <w:rPr>
          <w:rFonts w:ascii="Times New Roman" w:hAnsi="Times New Roman" w:eastAsia="宋体"/>
          <w:b/>
          <w:sz w:val="24"/>
        </w:rPr>
        <w:t>三、跨案例比较：两场危机与课上经典危机的异同</w:t>
      </w:r>
    </w:p>
    <w:p>
      <w:pPr>
        <w:spacing w:line="360" w:lineRule="auto" w:after="0"/>
        <w:ind w:firstLine="420"/>
      </w:pPr>
      <w:r>
        <w:rPr>
          <w:rFonts w:ascii="Times New Roman" w:hAnsi="Times New Roman" w:eastAsia="宋体"/>
          <w:b w:val="0"/>
          <w:sz w:val="21"/>
        </w:rPr>
        <w:t>3.1 分析框架：从金融脆弱性到系统性危机</w:t>
      </w:r>
    </w:p>
    <w:p>
      <w:pPr>
        <w:spacing w:line="360" w:lineRule="auto" w:after="0"/>
        <w:ind w:firstLine="420"/>
      </w:pPr>
      <w:r>
        <w:rPr>
          <w:rFonts w:ascii="Times New Roman" w:hAnsi="Times New Roman" w:eastAsia="宋体"/>
          <w:b w:val="0"/>
          <w:sz w:val="21"/>
        </w:rPr>
        <w:t>第十二讲将金融脆弱性界定为融资体系中风险积聚的状态，并强调金融自由化在提升效率的同时可能激化固有脆弱性（Demirgüç-Kunt和Detragiache，1999）。利率自由化带来的逆向选择、存贷利差收窄与资产价格波动，业务扩张使银行与房地产/证券周期绑定，资本流动放松则放大固定汇率或不完备货币联盟下的外部失衡。本文所讨论的两场危机，以及课上的1907年恐慌、大萧条与2007—2009年全球金融危机（GFC），都可以在这一框架下理解为：繁荣期风险被低估、约束被弱化，冲击到来后通过挤兑、重定价或去杠杆迅速释放。</w:t>
      </w:r>
    </w:p>
    <w:p>
      <w:pPr>
        <w:spacing w:line="360" w:lineRule="auto" w:after="0"/>
        <w:ind w:firstLine="420"/>
      </w:pPr>
      <w:r>
        <w:rPr>
          <w:rFonts w:ascii="Times New Roman" w:hAnsi="Times New Roman" w:eastAsia="宋体"/>
          <w:b w:val="0"/>
          <w:sz w:val="21"/>
        </w:rPr>
        <w:t>3.2 触发机制与危机类型：挤兑、货币与影子银行</w:t>
      </w:r>
    </w:p>
    <w:p>
      <w:pPr>
        <w:spacing w:line="360" w:lineRule="auto" w:after="0"/>
        <w:ind w:firstLine="420"/>
      </w:pPr>
      <w:r>
        <w:rPr>
          <w:rFonts w:ascii="Times New Roman" w:hAnsi="Times New Roman" w:eastAsia="宋体"/>
          <w:b w:val="0"/>
          <w:sz w:val="21"/>
        </w:rPr>
        <w:t>1907年恐慌的触发点是United Copper囤购失败及Knickerbocker Trust倒闭，典型表现为信任崩溃与银行挤兑（Diamond和Dybvig，1983）；J.P.Morgan的私人协调与财政部应对不足，直接推动了美联储的建立。大萧条兼具股市崩盘、多轮银行恐慌与金本位约束下的通缩传导（Eichengreen，2002；Bernanke，1983），货币收缩与信贷中介成本上升共同放大了衰退。2007—2009年GFC则主要发生在影子银行体系：次贷基本面恶化引发ABX价格下跌，回购与ABCP市场“挤兑”，LIBOR-OIS利差飙升显示银行间信用风险重定价（Gorton和Metrick，2012）。1997年亚洲危机以泰国房地产/金融公司问题触发本币失守，并快速演变为货币—银行—实体三重危机；2010年欧元区危机由希腊财政数据修正触发，但深层是利率收敛下的信贷扩张、跨境银行敞口与竞争力分化，危机类型呈现“主权—银行”耦合与债务可持续性恐慌。</w:t>
      </w:r>
    </w:p>
    <w:p>
      <w:pPr>
        <w:spacing w:line="360" w:lineRule="auto" w:after="0"/>
        <w:ind w:firstLine="420"/>
      </w:pPr>
      <w:r>
        <w:rPr>
          <w:rFonts w:ascii="Times New Roman" w:hAnsi="Times New Roman" w:eastAsia="宋体"/>
          <w:b w:val="0"/>
          <w:sz w:val="21"/>
        </w:rPr>
        <w:t>3.3 传染与反馈环：区域同步重定价的共性</w:t>
      </w:r>
    </w:p>
    <w:p>
      <w:pPr>
        <w:spacing w:line="360" w:lineRule="auto" w:after="0"/>
        <w:ind w:firstLine="420"/>
      </w:pPr>
      <w:r>
        <w:rPr>
          <w:rFonts w:ascii="Times New Roman" w:hAnsi="Times New Roman" w:eastAsia="宋体"/>
          <w:b w:val="0"/>
          <w:sz w:val="21"/>
        </w:rPr>
        <w:t>Kindleberger（1978）强调恐慌在开放条件下的多米诺式传染。亚洲危机中，国际投资者按“新兴亚洲”整体削减敞口，泰铢贬值通过贸易与预期渠道波及其他东盟经济体；韩国则因短期外债滚续中断而遭遇批发融资“挤兑”。欧元区危机的传染更体现为评级下调的顺周期性、回购抵押品折扣上升与跨境银行共同持有PIIGS主权债的“互相踩踏”，使希腊问题迅速外溢至爱尔兰、葡萄牙、西班牙乃至意大利。与1907年、1930年代美国银行恐慌相似，信息不完全条件下市场往往“按类别”而非“按基本面”抛售；与GFC相似，银行间市场冻结是危机深化的关键加速器。差异在于：亚洲与欧元区的冲击主要沿跨境资本与主权/银行资产负债表传导，而GFC还叠加了复杂证券化链条上的抵押品质量重估。</w:t>
      </w:r>
    </w:p>
    <w:p>
      <w:pPr>
        <w:spacing w:line="360" w:lineRule="auto" w:after="0"/>
        <w:ind w:firstLine="420"/>
      </w:pPr>
      <w:r>
        <w:rPr>
          <w:rFonts w:ascii="Times New Roman" w:hAnsi="Times New Roman" w:eastAsia="宋体"/>
          <w:b w:val="0"/>
          <w:sz w:val="21"/>
        </w:rPr>
        <w:t>3.4 政策应对：最后贷款人、重组与道德风险</w:t>
      </w:r>
    </w:p>
    <w:p>
      <w:pPr>
        <w:spacing w:line="360" w:lineRule="auto" w:after="0"/>
        <w:ind w:firstLine="420"/>
      </w:pPr>
      <w:r>
        <w:rPr>
          <w:rFonts w:ascii="Times New Roman" w:hAnsi="Times New Roman" w:eastAsia="宋体"/>
          <w:b w:val="0"/>
          <w:sz w:val="21"/>
        </w:rPr>
        <w:t>1907年缺乏制度化最后贷款人，危机后以联邦储备体系作为制度回应；大萧条期间美联储未能有效履行LOLR职能，1933年存款担保与银行假日才逐步稳定体系。GFC中，美联储与财政部通过非常规流动性工具、问题机构处置与存款保险稳定预期，但“大而不倒”与道德风险争议持续存在。亚洲危机的政策组合是放弃不可持续钉住、IMF牵头官方融资、关闭问题机构并扩展存款担保；马来西亚资本管制提供了与IMF模板并行的实验。欧元区则经历“先紧缩、后承诺”的演进：EFSF/ESM提供区域救助，2012年德拉吉“Whatever it takes”与OMT以承诺型最后贷款人稳定预期，2015年后QE进一步压低主权利差，银行业联盟试图切断主权—银行螺旋。共性是：仅货币宽松不足以修复受损的银行中介（Bernanke，1983）；但若缺乏透明重组与硬约束，公共救助又会积累新的道德风险。</w:t>
      </w:r>
    </w:p>
    <w:p>
      <w:pPr>
        <w:spacing w:line="360" w:lineRule="auto" w:after="0"/>
        <w:ind w:firstLine="420"/>
      </w:pPr>
      <w:r>
        <w:rPr>
          <w:rFonts w:ascii="Times New Roman" w:hAnsi="Times New Roman" w:eastAsia="宋体"/>
          <w:b w:val="0"/>
          <w:sz w:val="21"/>
        </w:rPr>
        <w:t>3.5 两场危机的同异对照</w:t>
      </w:r>
    </w:p>
    <w:p>
      <w:pPr>
        <w:spacing w:line="360" w:lineRule="auto" w:after="0"/>
        <w:ind w:firstLine="420"/>
      </w:pPr>
      <w:r>
        <w:rPr>
          <w:rFonts w:ascii="Times New Roman" w:hAnsi="Times New Roman" w:eastAsia="宋体"/>
          <w:b w:val="0"/>
          <w:sz w:val="21"/>
        </w:rPr>
        <w:t>相同点：（1）危机前均存在金融自由化背景下的信贷扩张与资产价格上升；（2）都出现货币/主权与银行部门的双向反馈；（3）都伴随国际投资者同步重定价与区域传染；（4）政策均在“稳定金融”与“避免道德风险”之间艰难权衡。不同点：（1）制度环境：亚洲为中等收入开放经济体+固定汇率，欧元区为高收入货币联盟内部的主权债务问题；（2）核心错配：亚洲突出短期外债与货币错配，欧元区突出财政分散与缺乏共同最后贷款人；（3）冲击来源：亚洲先有实体/金融部门问题再冲击汇率，欧元区先有主权信用重估再冲击银行；（4）政策工具：亚洲以IMF双边/多边救助为主，欧元区逐步内生构建ESM/OMT/QE等区域工具。</w:t>
      </w:r>
    </w:p>
    <w:p>
      <w:pPr>
        <w:spacing w:line="360" w:lineRule="auto" w:after="0"/>
        <w:ind w:firstLine="420"/>
      </w:pPr>
      <w:r>
        <w:rPr>
          <w:rFonts w:ascii="Times New Roman" w:hAnsi="Times New Roman" w:eastAsia="宋体"/>
          <w:b w:val="0"/>
          <w:sz w:val="21"/>
        </w:rPr>
        <w:t>3.6 总结与启示</w:t>
      </w:r>
    </w:p>
    <w:p>
      <w:pPr>
        <w:spacing w:line="360" w:lineRule="auto" w:after="0"/>
        <w:ind w:firstLine="420"/>
      </w:pPr>
      <w:r>
        <w:rPr>
          <w:rFonts w:ascii="Times New Roman" w:hAnsi="Times New Roman" w:eastAsia="宋体"/>
          <w:b w:val="0"/>
          <w:sz w:val="21"/>
        </w:rPr>
        <w:t>综合五类危机案例，可以得到三点启示。第一，金融稳定不是增长的自动副产品，金融自由化必须与监管能力、信息披露和危机处置框架同步推进。第二，固定汇率、不完备货币联盟或影子银行体系中的隐性担保，都会在高杠杆环境下放大顺周期行为；危机治理的关键是打破“贬值/违约—银行受损—资本外流”的反馈环。第三，最后贷款人与存款/融资稳定机制是遏制挤兑的必要条件，但其设计必须与事后重组、损失分担和财政约束相配套，否则只能以时间换空间，难以根除脆弱性。对新兴经济体而言，亚洲危机提示应谨慎管理短期外债与汇率制度；对货币联盟建设而言，欧元区危机提示仅有货币一体化而缺少财政与金融联盟，可能在冲击下付出更长的调整成本。</w:t>
      </w:r>
    </w:p>
    <w:p w14:paraId="1DF790B9">
      <w:pPr>
        <w:rPr>
          <w:rFonts w:ascii="宋体" w:hAnsi="宋体" w:eastAsia="宋体" w:cs="宋体"/>
          <w:b/>
          <w:kern w:val="0"/>
          <w:sz w:val="21"/>
          <w:szCs w:val="22"/>
          <w:lang w:eastAsia="en-US"/>
          <w14:ligatures w14:val="none"/>
        </w:rPr>
      </w:pPr>
      <w:r>
        <w:rPr>
          <w:rFonts w:ascii="宋体" w:hAnsi="宋体" w:eastAsia="宋体" w:cs="宋体"/>
          <w:b/>
          <w:kern w:val="0"/>
          <w:sz w:val="21"/>
          <w:szCs w:val="22"/>
          <w:lang w:eastAsia="en-US"/>
          <w14:ligatures w14:val="none"/>
        </w:rPr>
        <w:t>参考文献</w:t>
      </w:r>
    </w:p>
    <w:p w14:paraId="3D77DBE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 Acharya, V. V., &amp; Steffen, S. (2015). The greatest carry trade ever? Understanding eurozone bank risks. Journal of Financial Economics, 115(2), 215-236.</w:t>
      </w:r>
    </w:p>
    <w:p w14:paraId="3A3D01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 Allen, F., &amp; Gale, D. (2000). Financial contagion. Journal of Political Economy, 108(1), 1-33.</w:t>
      </w:r>
    </w:p>
    <w:p w14:paraId="516861A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[3] Baldwin, R., &amp; Giavazzi, F. (Eds.). (2015). The Eurozone Crisis: A Consensus View of the Causes and a Few Possible Solutions. CEPR Press.</w:t>
      </w:r>
    </w:p>
    <w:p w14:paraId="2C78479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[4] Blanchard, O., &amp; Leigh, D. (2013). Growth forecast errors and fiscal multipliers. American Economic Review, 103(3), 117-120.</w:t>
      </w:r>
    </w:p>
    <w:p w14:paraId="1D5E937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[5] Blyth, M. (2013). Austerity: The History of a Dangerous Idea. Oxford University Press.</w:t>
      </w:r>
    </w:p>
    <w:p w14:paraId="504B230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[6] Brunnermeier, M. K., James, H., &amp; Landau, J. P. (2016). The Euro and the Battle of Ideas. Princeton University Press.</w:t>
      </w:r>
    </w:p>
    <w:p w14:paraId="6D8AA5B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[7] De Grauwe, P. (2013). Economics of Monetary Union (10th ed.). Oxford University Press.</w:t>
      </w:r>
    </w:p>
    <w:p w14:paraId="7B0555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[8] De Grauwe, P., &amp; Ji, Y. (2013). Self-fulfilling eurozone crises. CEPS Working Document No. 386.</w:t>
      </w:r>
    </w:p>
    <w:p w14:paraId="16B5684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[9] Demirgüç-Kunt, A., &amp; Detragiache, E. (1999). Does financial liberalization increase the likelihood of banking crises? IMF Working Paper, 99/89.</w:t>
      </w:r>
    </w:p>
    <w:p w14:paraId="486D50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[10] Diamond, D. W., &amp; Dybvig, P. H. (1983). Bank runs, deposit insurance, and liquidity. Journal of Political Economy, 91(3), 401-419.</w:t>
      </w:r>
    </w:p>
    <w:p w14:paraId="24AF10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[11] Eichengreen, B. (2010). The eurozone crisis: causes and prospects. Proceedings - Federal Reserve Bank of San Francisco, 2010, 25-37.</w:t>
      </w:r>
    </w:p>
    <w:p w14:paraId="6B299509">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[12] Gorton, G., &amp; Metrick, A. (2012). Securitized banking and the run on repo. Journal of Financial Economics, 104(3), 425-451.</w:t>
      </w:r>
    </w:p>
    <w:p w14:paraId="35476FE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[13] International Monetary Fund. (2013). Greece: Ex Post Evaluation of Exceptional Access under the 2010 Stand-By Arrangement. IMF Country Report No. 13/156.</w:t>
      </w:r>
    </w:p>
    <w:p w14:paraId="109CF80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[14] Kindleberger, C. P. (1978). Manias, Panics, and Crashes: A History of Financial Crises. Basic Books.</w:t>
      </w:r>
    </w:p>
    <w:p w14:paraId="70E3780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[15] Krugman, P. (2012). Revenge of the optimum currency area. Proceedings - Federal Reserve Bank of Kansas City, 2012, 351-360.</w:t>
      </w:r>
    </w:p>
    <w:p w14:paraId="6180CF27">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[16] Lane, P. R. (2012). The European sovereign debt crisis. Journal of Economic Perspectives, 26(3), 49-68.</w:t>
      </w:r>
    </w:p>
    <w:p w14:paraId="2597FB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[17] Minsky, H. P. (1992). The financial instability hypothesis. The Levy Economics Institute Working Paper, No. 74.</w:t>
      </w:r>
    </w:p>
    <w:p w14:paraId="52A8E7D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[18] Obstfeld, M. (2013). Finance at center stage: Some lessons of the euro crisis. European Economy Economic Papers, 493.</w:t>
      </w:r>
    </w:p>
    <w:p w14:paraId="34D267FD">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[19] Reinhart, C. M., &amp; Rogoff, K. S. (2009). This Time Is Different: Eight Centuries of Financial Folly. Princeton University Press.</w:t>
      </w:r>
    </w:p>
    <w:p w14:paraId="06EC22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[20] Schularick, M., &amp; Taylor, A. M. (2012). Credit booms gone bust: Monetary policy, leverage cycles, and financial crises, 1870-2008. American Economic Review, 102(2), 1029-1061.</w:t>
      </w:r>
    </w:p>
    <w:p w14:paraId="2BFB823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[21] Shambaugh, J. C. (2012). The euro's three crises. Brookings Papers on Economic Activity, Spring 2012, 157-231.</w:t>
      </w:r>
    </w:p>
    <w:p w14:paraId="6AC0693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[22] Stiglitz, J. E., &amp; Weiss, A. (1981). Credit rationing in markets with imperfect information. American Economic Review, 71(3), 393-410.</w:t>
      </w:r>
    </w:p>
    <w:p w14:paraId="7291B4B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[23] Trichet, J. C. (2010). State of the Union: Annual address by the President of the ECB. Frankfurt: European Central Bank.</w:t>
      </w:r>
    </w:p>
    <w:p w14:paraId="5ACE470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[24] Véron, N. (2013). Europe's banking union at risk. Bruegel Policy Brief 2013/04.</w:t>
      </w:r>
    </w:p>
    <w:p w14:paraId="368828F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[25] 余永定. (2015). 避免危机重演：从欧洲主权债危机看中国. 国际经济评论, 2015(5), 9-22.</w:t>
      </w:r>
    </w:p>
    <w:p>
      <w:pPr>
        <w:spacing w:line="360" w:lineRule="auto"/>
        <w:ind w:left="420" w:hanging="420"/>
      </w:pPr>
      <w:r>
        <w:rPr>
          <w:rFonts w:ascii="Times New Roman" w:hAnsi="Times New Roman" w:eastAsia="宋体"/>
          <w:b w:val="0"/>
          <w:sz w:val="21"/>
        </w:rPr>
        <w:t>Bernanke, B. S. (1983). Nonmonetary effects of the financial crisis in the propagation of the Great Depression. American Economic Review, 73(3), 257–276.</w:t>
      </w:r>
    </w:p>
    <w:p>
      <w:pPr>
        <w:spacing w:line="360" w:lineRule="auto"/>
        <w:ind w:left="420" w:hanging="420"/>
      </w:pPr>
      <w:r>
        <w:rPr>
          <w:rFonts w:ascii="Times New Roman" w:hAnsi="Times New Roman" w:eastAsia="宋体"/>
          <w:b w:val="0"/>
          <w:sz w:val="21"/>
        </w:rPr>
        <w:t>Corsetti, G., Pesenti, P., &amp; Roubini, N. (1999). Paper tigers? A model of the Asian crisis. European Economic Review, 43(7), 1211–1236.</w:t>
      </w:r>
    </w:p>
    <w:p>
      <w:pPr>
        <w:spacing w:line="360" w:lineRule="auto"/>
        <w:ind w:left="420" w:hanging="420"/>
      </w:pPr>
      <w:r>
        <w:rPr>
          <w:rFonts w:ascii="Times New Roman" w:hAnsi="Times New Roman" w:eastAsia="宋体"/>
          <w:b w:val="0"/>
          <w:sz w:val="21"/>
        </w:rPr>
        <w:t>Demirgüç-Kunt, A., &amp; Detragiache, E. (1999). Financial liberalization and financial fragility. In B. Pleskovic &amp; J. E. Stiglitz (Eds.), Annual World Bank Conference on Development Economics, 1998–1999 (pp. 303–316). World Bank.</w:t>
      </w:r>
    </w:p>
    <w:p>
      <w:pPr>
        <w:spacing w:line="360" w:lineRule="auto"/>
        <w:ind w:left="420" w:hanging="420"/>
      </w:pPr>
      <w:r>
        <w:rPr>
          <w:rFonts w:ascii="Times New Roman" w:hAnsi="Times New Roman" w:eastAsia="宋体"/>
          <w:b w:val="0"/>
          <w:sz w:val="21"/>
        </w:rPr>
        <w:t>Diamond, D. W., &amp; Dybvig, P. H. (1983). Bank runs, deposit insurance, and liquidity. Journal of Political Economy, 91(3), 401–419.</w:t>
      </w:r>
    </w:p>
    <w:p>
      <w:pPr>
        <w:spacing w:line="360" w:lineRule="auto"/>
        <w:ind w:left="420" w:hanging="420"/>
      </w:pPr>
      <w:r>
        <w:rPr>
          <w:rFonts w:ascii="Times New Roman" w:hAnsi="Times New Roman" w:eastAsia="宋体"/>
          <w:b w:val="0"/>
          <w:sz w:val="21"/>
        </w:rPr>
        <w:t>Eichengreen, B. (2002). Financial Crises and What to Do About Them. Oxford University Press.</w:t>
      </w:r>
    </w:p>
    <w:p>
      <w:pPr>
        <w:spacing w:line="360" w:lineRule="auto"/>
        <w:ind w:left="420" w:hanging="420"/>
      </w:pPr>
      <w:r>
        <w:rPr>
          <w:rFonts w:ascii="Times New Roman" w:hAnsi="Times New Roman" w:eastAsia="宋体"/>
          <w:b w:val="0"/>
          <w:sz w:val="21"/>
        </w:rPr>
        <w:t>Fischer, S. (1998). The Asian crisis: A view from the IMF. Address at the Midwinter Conference of the Bankers' Association for Foreign Trade, Washington, D.C., January 22. International Monetary Fund.</w:t>
      </w:r>
    </w:p>
    <w:p>
      <w:pPr>
        <w:spacing w:line="360" w:lineRule="auto"/>
        <w:ind w:left="420" w:hanging="420"/>
      </w:pPr>
      <w:r>
        <w:rPr>
          <w:rFonts w:ascii="Times New Roman" w:hAnsi="Times New Roman" w:eastAsia="宋体"/>
          <w:b w:val="0"/>
          <w:sz w:val="21"/>
        </w:rPr>
        <w:t>Goldstein, M. (1998). The Asian Financial Crisis: Causes, Cures, and Systemic Implications. Peterson Institute for International Economics.</w:t>
      </w:r>
    </w:p>
    <w:p>
      <w:pPr>
        <w:spacing w:line="360" w:lineRule="auto"/>
        <w:ind w:left="420" w:hanging="420"/>
      </w:pPr>
      <w:r>
        <w:rPr>
          <w:rFonts w:ascii="Times New Roman" w:hAnsi="Times New Roman" w:eastAsia="宋体"/>
          <w:b w:val="0"/>
          <w:sz w:val="21"/>
        </w:rPr>
        <w:t>Kindleberger, C. P. (1978). Manias, Panics, and Crashes: A History of Financial Crises. Basic Books.</w:t>
      </w:r>
    </w:p>
    <w:p>
      <w:pPr>
        <w:spacing w:line="360" w:lineRule="auto"/>
        <w:ind w:left="420" w:hanging="420"/>
      </w:pPr>
      <w:r>
        <w:rPr>
          <w:rFonts w:ascii="Times New Roman" w:hAnsi="Times New Roman" w:eastAsia="宋体"/>
          <w:b w:val="0"/>
          <w:sz w:val="21"/>
        </w:rPr>
        <w:t>Krugman, P. (1979). A model of balance-of-payments crises. Journal of Money, Credit and Banking, 11(3), 311–325.</w:t>
      </w:r>
    </w:p>
    <w:p>
      <w:pPr>
        <w:spacing w:line="360" w:lineRule="auto"/>
        <w:ind w:left="420" w:hanging="420"/>
      </w:pPr>
      <w:r>
        <w:rPr>
          <w:rFonts w:ascii="Times New Roman" w:hAnsi="Times New Roman" w:eastAsia="宋体"/>
          <w:b w:val="0"/>
          <w:sz w:val="21"/>
        </w:rPr>
        <w:t>Krugman, P. (1998). What happened to Asia? MIT Department of Economics Working Paper.</w:t>
      </w:r>
    </w:p>
    <w:p>
      <w:pPr>
        <w:spacing w:line="360" w:lineRule="auto"/>
        <w:ind w:left="420" w:hanging="420"/>
      </w:pPr>
      <w:r>
        <w:rPr>
          <w:rFonts w:ascii="Times New Roman" w:hAnsi="Times New Roman" w:eastAsia="宋体"/>
          <w:b w:val="0"/>
          <w:sz w:val="21"/>
        </w:rPr>
        <w:t>Lane, T., Ghosh, A. R., Hamann, J., Phillips, S., Schulze-Ghattas, M., &amp; Tsikata, T. (1999). IMF-supported programs in Indonesia, Korea, and Thailand: A preliminary assessment. IMF Occasional Paper No. 178. International Monetary Fund.</w:t>
      </w:r>
    </w:p>
    <w:p>
      <w:pPr>
        <w:spacing w:line="360" w:lineRule="auto"/>
        <w:ind w:left="420" w:hanging="420"/>
      </w:pPr>
      <w:r>
        <w:rPr>
          <w:rFonts w:ascii="Times New Roman" w:hAnsi="Times New Roman" w:eastAsia="宋体"/>
          <w:b w:val="0"/>
          <w:sz w:val="21"/>
        </w:rPr>
        <w:t>Minsky, H. P. (1986). Stabilizing an Unstable Economy. Yale University Press.</w:t>
      </w:r>
    </w:p>
    <w:p>
      <w:pPr>
        <w:spacing w:line="360" w:lineRule="auto"/>
        <w:ind w:left="420" w:hanging="420"/>
      </w:pPr>
      <w:r>
        <w:rPr>
          <w:rFonts w:ascii="Times New Roman" w:hAnsi="Times New Roman" w:eastAsia="宋体"/>
          <w:b w:val="0"/>
          <w:sz w:val="21"/>
        </w:rPr>
        <w:t>Obstfeld, M. (1994). The logic of currency crises. Cahiers Économiques et Monétaires, 43, 189–213.</w:t>
      </w:r>
    </w:p>
    <w:p>
      <w:pPr>
        <w:spacing w:line="360" w:lineRule="auto"/>
        <w:ind w:left="420" w:hanging="420"/>
      </w:pPr>
      <w:r>
        <w:rPr>
          <w:rFonts w:ascii="Times New Roman" w:hAnsi="Times New Roman" w:eastAsia="宋体"/>
          <w:b w:val="0"/>
          <w:sz w:val="21"/>
        </w:rPr>
        <w:t>Stiglitz, J. E. (2002). Globalization and Its Discontents. W. W. Norton.</w:t>
      </w:r>
    </w:p>
    <w:p>
      <w:pPr>
        <w:spacing w:line="360" w:lineRule="auto"/>
        <w:ind w:left="420" w:hanging="420"/>
      </w:pPr>
      <w:r>
        <w:rPr>
          <w:rFonts w:ascii="Times New Roman" w:hAnsi="Times New Roman" w:eastAsia="宋体"/>
          <w:b w:val="0"/>
          <w:sz w:val="21"/>
        </w:rPr>
        <w:t>Stiglitz, J. E., &amp; Weiss, A. (1981). Credit rationing in markets with imperfect information. American Economic Review, 71(3), 393–410.</w:t>
      </w:r>
    </w:p>
    <w:p w14:paraId="17A0329B">
      <w:pPr>
        <w:rPr>
          <w:rFonts w:hint="eastAsia"/>
        </w:rPr>
      </w:pPr>
    </w:p>
    <w:p w14:paraId="37AFB483">
      <w:pPr>
        <w:rPr>
          <w:rFonts w:ascii="宋体" w:hAnsi="宋体" w:eastAsia="宋体" w:cs="宋体"/>
          <w:b w:val="0"/>
          <w:i w:val="0"/>
          <w:sz w:val="21"/>
        </w:rPr>
      </w:pPr>
      <w:bookmarkStart w:id="2" w:name="_GoBack"/>
      <w:bookmarkEnd w:id="2"/>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B804CE"/>
    <w:rsid w:val="09352433"/>
    <w:rsid w:val="0C120997"/>
    <w:rsid w:val="1DF24184"/>
    <w:rsid w:val="314F3970"/>
    <w:rsid w:val="32E95703"/>
    <w:rsid w:val="332202D2"/>
    <w:rsid w:val="34E02B31"/>
    <w:rsid w:val="3A695377"/>
    <w:rsid w:val="5F5C0E82"/>
    <w:rsid w:val="657E5998"/>
    <w:rsid w:val="6587477F"/>
    <w:rsid w:val="713752AB"/>
    <w:rsid w:val="7A3031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7781</Words>
  <Characters>9585</Characters>
  <Lines>0</Lines>
  <Paragraphs>0</Paragraphs>
  <TotalTime>0</TotalTime>
  <ScaleCrop>false</ScaleCrop>
  <LinksUpToDate>false</LinksUpToDate>
  <CharactersWithSpaces>9858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2026-07-09T07:26:35Z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