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7B94DD">
      <w:pPr>
        <w:spacing w:before="120" w:after="120"/>
        <w:ind w:firstLine="0"/>
        <w:jc w:val="center"/>
      </w:pPr>
      <w:r>
        <w:rPr>
          <w:rFonts w:ascii="宋体" w:hAnsi="宋体" w:eastAsia="宋体" w:cs="宋体"/>
          <w:b/>
          <w:i w:val="0"/>
          <w:sz w:val="21"/>
        </w:rPr>
        <w:t>1997年亚洲金融危机：脆弱性积累、政策应对与成因机制</w:t>
      </w:r>
    </w:p>
    <w:p w14:paraId="29AF9293">
      <w:pPr>
        <w:spacing w:before="120" w:after="120"/>
        <w:ind w:firstLine="0"/>
      </w:pPr>
      <w:r>
        <w:rPr>
          <w:rFonts w:ascii="宋体" w:hAnsi="宋体" w:eastAsia="宋体" w:cs="宋体"/>
          <w:b/>
          <w:i w:val="0"/>
          <w:sz w:val="21"/>
        </w:rPr>
        <w:t>一、危机前的东亚：增长、自由化与不可持续的金融结构</w:t>
      </w:r>
    </w:p>
    <w:p w14:paraId="072F26DF">
      <w:pPr>
        <w:spacing w:before="120" w:after="120"/>
        <w:ind w:firstLine="0"/>
      </w:pPr>
      <w:r>
        <w:rPr>
          <w:rFonts w:ascii="宋体" w:hAnsi="宋体" w:eastAsia="宋体" w:cs="宋体"/>
          <w:b/>
          <w:i w:val="0"/>
          <w:sz w:val="21"/>
        </w:rPr>
        <w:t>1.1 高增长与外部融资的共生</w:t>
      </w:r>
    </w:p>
    <w:p w14:paraId="69AEA2A1">
      <w:r>
        <w:rPr>
          <w:rFonts w:ascii="宋体" w:hAnsi="宋体" w:eastAsia="宋体" w:cs="宋体"/>
          <w:b w:val="0"/>
          <w:i w:val="0"/>
          <w:sz w:val="21"/>
        </w:rPr>
        <w:t>1985年至1996年间，东亚多个经济体实现了持续的高速增长。这一增长模式具有鲜明的共同特征：高投资率、出口导向、相对稳定的通胀以及积极利用国际金融市场。以泰国为例，其国内生产总值在这一时期年均增速长期维持在8%左右，马来西亚与印度尼西亚亦保持在6%至8%的区间，韩国在1990年代初仍具有7%以上的增长动能。从表面数据看，这些经济体似乎成功地将对外开放转化为长期发展优势。</w:t>
      </w:r>
    </w:p>
    <w:p w14:paraId="160AB944">
      <w:r>
        <w:rPr>
          <w:rFonts w:ascii="宋体" w:hAnsi="宋体" w:eastAsia="宋体" w:cs="宋体"/>
          <w:b w:val="0"/>
          <w:i w:val="0"/>
          <w:sz w:val="21"/>
        </w:rPr>
        <w:t>然而，高增长并不自动意味着金融稳健。对于泰国、马来西亚与印度尼西亚等国而言，国内投资规模持续超过国内储蓄，经常账户赤字随之扩大。1996年，泰国经常账户赤字占国内生产总值比重已接近8%，马来西亚约为6%，韩国接近5%。这意味着增长越来越依赖外部融资，而外部融资的可持续性又取决于国际市场对该国汇率与金融体系的信心。一旦信心动摇，原本支撑增长的资本流入会迅速逆转为资本外流，外部平衡恶化将首先表现为汇率压力，继而通过外币负债渠道冲击国内银行与企业。</w:t>
      </w:r>
    </w:p>
    <w:p w14:paraId="10821363">
      <w:r>
        <w:rPr>
          <w:rFonts w:ascii="宋体" w:hAnsi="宋体" w:eastAsia="宋体" w:cs="宋体"/>
          <w:b w:val="0"/>
          <w:i w:val="0"/>
          <w:sz w:val="21"/>
        </w:rPr>
        <w:t>更值得注意的是，1990年代中期流入东亚的资本并非全部为长期稳定的直接投资。随着资本账户管制的放松，短期银行贷款、债券融资以及具有顺周期特征的组合投资占比显著上升。对于本地银行和企业而言，在海外低利率环境下借入美元或日元计价的短期资金，再将本币资金配置于回报更高的本地资产，尤其是房地产与基础设施，成为普遍策略。这一策略在汇率稳定且资产价格上升时能够自我强化，但其内在结构存在两种致命错配：一是货币错配，即收入与资产以本币计价，而负债以外币计价；二是期限错配，即短期负债支持长期、低流动性资产。这两种错配在经济高速增长时期往往不被充分识别，一旦本币贬值或外资拒绝展期，借款人净值与银行资本将在短时间内受到严重冲击。</w:t>
      </w:r>
    </w:p>
    <w:p w14:paraId="5F3C63FE">
      <w:pPr>
        <w:spacing w:before="120" w:after="120"/>
        <w:ind w:firstLine="0"/>
      </w:pPr>
      <w:r>
        <w:rPr>
          <w:rFonts w:ascii="宋体" w:hAnsi="宋体" w:eastAsia="宋体" w:cs="宋体"/>
          <w:b/>
          <w:i w:val="0"/>
          <w:sz w:val="21"/>
        </w:rPr>
        <w:t>1.2 金融自由化、固定汇率与隐性担保</w:t>
      </w:r>
    </w:p>
    <w:p w14:paraId="37042204">
      <w:r>
        <w:rPr>
          <w:rFonts w:ascii="宋体" w:hAnsi="宋体" w:eastAsia="宋体" w:cs="宋体"/>
          <w:b w:val="0"/>
          <w:i w:val="0"/>
          <w:sz w:val="21"/>
        </w:rPr>
        <w:t>1990年代的东亚金融改革，核心内容与国际上典型的金融自由化路径高度一致：放松利率管制、扩大金融机构业务范围、引入更多竞争主体，并在不同程度上开放资本账户。从效率角度看，这些改革有助于缓解金融压抑，改善资源配置；但从脆弱性角度看，它们也同步改变了银行与企业的激励结构。</w:t>
      </w:r>
    </w:p>
    <w:p w14:paraId="66616E75">
      <w:r>
        <w:rPr>
          <w:rFonts w:ascii="宋体" w:hAnsi="宋体" w:eastAsia="宋体" w:cs="宋体"/>
          <w:b w:val="0"/>
          <w:i w:val="0"/>
          <w:sz w:val="21"/>
        </w:rPr>
        <w:t>利率自由化使商业银行获得了更大的定价自主权，理论上可以通过利率差别化识别风险。然而，在信息不对称普遍存在的情况下，高利率往往吸引更高风险的借款者，或诱导现有借款者转向风险更高的项目，这就是Stiglitz与Weiss（1981）所强调的信贷市场逆向选择问题。与此同时，银行间为争夺存款而展开的激烈竞争，推高了负债成本、压缩了存贷利差，使银行的风险缓冲垫变薄。对于泰国金融公司、韩国商业银行以及印度尼西亚与国内政商网络联系紧密的银行而言，竞争压力进一步诱使其将资金大量投入房地产、股票以及与关联企业相关的项目，而风险定价并未同步上升。</w:t>
      </w:r>
    </w:p>
    <w:p w14:paraId="6F89E93F">
      <w:r>
        <w:rPr>
          <w:rFonts w:ascii="宋体" w:hAnsi="宋体" w:eastAsia="宋体" w:cs="宋体"/>
          <w:b w:val="0"/>
          <w:i w:val="0"/>
          <w:sz w:val="21"/>
        </w:rPr>
        <w:t>与利率自由化并行的是业务范围的扩张。银证混业、对非金融部门的大额敞口以及对房地产部门的集中授信，使银行体系与资产价格周期高度绑定。泰国在1990年至1996年间的房地产繁荣，是这一机制最清晰的例证：地价与房价持续上涨，金融机构以土地和项目未来收益作为抵押扩大信贷，不良贷款在官方统计中尚未充分显现，但风险已经在资产负债表外面积累。韩国的情况则更多体现为财阀与银行之间的结构性关联：大型集团过度扩张，银行在隐性政府担保预期下持续提供融资，使得单一企业集团的风险能够迅速外溢至整个银行体系。</w:t>
      </w:r>
    </w:p>
    <w:p w14:paraId="53E5F098">
      <w:r>
        <w:rPr>
          <w:rFonts w:ascii="宋体" w:hAnsi="宋体" w:eastAsia="宋体" w:cs="宋体"/>
          <w:b w:val="0"/>
          <w:i w:val="0"/>
          <w:sz w:val="21"/>
        </w:rPr>
        <w:t>资本账户开放与固定汇率制度的结合，则放大了上述激励扭曲。泰国自1984年起将泰铢钉住美元，马来西亚、印度尼西亚与菲律宾亦在不同程度上维持类似的汇率安排。固定汇率降低了外资的汇率风险感知，使短期资本流入在1990年代中期达到高峰。但与此同时，本国货币政策实质上失去了独立性，央行不得不在维持钉住与应对国内金融压力之间艰难权衡。更深层的问题在于，政府对汇率稳定的强承诺，在私人部门眼中等价于一种隐性担保：企业敢于大量借入未对冲的外币债务，银行相信政府不会允许大型机构倒闭，国际投资者则假定东亚增长模式具有足够的政策承诺支撑。这种道德风险与存款保险制度可能诱发的过度冒险在机制上同源：风险在繁荣期被隐藏，在压力期集中爆发。</w:t>
      </w:r>
    </w:p>
    <w:p w14:paraId="4090A2C6">
      <w:r>
        <w:rPr>
          <w:rFonts w:ascii="宋体" w:hAnsi="宋体" w:eastAsia="宋体" w:cs="宋体"/>
          <w:b w:val="0"/>
          <w:i w:val="0"/>
          <w:sz w:val="21"/>
        </w:rPr>
        <w:t>到1996年，脆弱性指标已相当清晰。泰国、印度尼西亚与菲律宾的短期外债规模接近甚至超过外汇储备；韩国虽然拥有更大的经济体量与更高的外汇储备名义值，但其短期外债总量极为庞大，且大量通过银行体系滚动续借，对外部批发融资市场高度依赖。同一时期，日本经济与日元汇率的变化、中国制造业出口竞争力的上升以及泰国房地产部门违约的显性化，共同构成了危机前的外部与内部预警信号。换言之，1997年7月的泰铢崩溃并非无迹可循，而是长期不可持续金融结构在冲击下的一次集中修正。</w:t>
      </w:r>
    </w:p>
    <w:p w14:paraId="3381C7CE">
      <w:pPr>
        <w:spacing w:before="120" w:after="120"/>
        <w:ind w:firstLine="0"/>
      </w:pPr>
      <w:r>
        <w:rPr>
          <w:rFonts w:ascii="宋体" w:hAnsi="宋体" w:eastAsia="宋体" w:cs="宋体"/>
          <w:b/>
          <w:i w:val="0"/>
          <w:sz w:val="21"/>
        </w:rPr>
        <w:t>二、危机的爆发与扩散：从泰国到区域性崩溃</w:t>
      </w:r>
    </w:p>
    <w:p w14:paraId="61F7F059">
      <w:pPr>
        <w:spacing w:before="120" w:after="120"/>
        <w:ind w:firstLine="0"/>
      </w:pPr>
      <w:r>
        <w:rPr>
          <w:rFonts w:ascii="宋体" w:hAnsi="宋体" w:eastAsia="宋体" w:cs="宋体"/>
          <w:b/>
          <w:i w:val="0"/>
          <w:sz w:val="21"/>
        </w:rPr>
        <w:t>2.1 泰国：第一代与第二代货币危机模型的交汇</w:t>
      </w:r>
    </w:p>
    <w:p w14:paraId="1E77C33A">
      <w:r>
        <w:rPr>
          <w:rFonts w:ascii="宋体" w:hAnsi="宋体" w:eastAsia="宋体" w:cs="宋体"/>
          <w:b w:val="0"/>
          <w:i w:val="0"/>
          <w:sz w:val="21"/>
        </w:rPr>
        <w:t>1997年2月，泰国最大建筑商Somprasong Development宣布无法偿还债务，标志着房地产繁荣的实质性终结。市场开始重新评估泰国金融公司与商业银行的资产质量，对泰铢维持现有钉住水平的信心随之动摇。1997年5月，泰国财政部长公开承认政府难以继续捍卫汇率，国际投资者与本地居民开始集中测试央行外汇储备。泰国央行通过出售外储与提高利率进行抵抗，但此举并未恢复信心，反而在国内金融已十分脆弱的背景下进一步加重了借款人的偿债压力。</w:t>
      </w:r>
    </w:p>
    <w:p w14:paraId="6286DF76">
      <w:r>
        <w:rPr>
          <w:rFonts w:ascii="宋体" w:hAnsi="宋体" w:eastAsia="宋体" w:cs="宋体"/>
          <w:b w:val="0"/>
          <w:i w:val="0"/>
          <w:sz w:val="21"/>
        </w:rPr>
        <w:t>1997年7月2日，泰国央行宣布放弃泰铢对美元固定汇率，实行有管理浮动。泰铢当日大幅贬值，并在随后数月中继续下跌，至1998年初累计贬值幅度已超过50%。从理论上看，泰国危机同时具有Krugman（1979）第一代货币危机模型与Obstfeld（1994）第二代货币危机模型的特征：一方面，持续的外部失衡与信贷扩张导致外汇储备在钉住制度下被逐步耗尽，使维持固定汇率在技术上日益不可行；另一方面，即使部分基本面指标尚未恶化到必然崩溃的程度，市场只要怀疑政府捍卫汇率的意愿或能力，便可能通过资本外逃使贬值成为自我实现的均衡。</w:t>
      </w:r>
    </w:p>
    <w:p w14:paraId="74AC3EA2">
      <w:r>
        <w:rPr>
          <w:rFonts w:ascii="宋体" w:hAnsi="宋体" w:eastAsia="宋体" w:cs="宋体"/>
          <w:b w:val="0"/>
          <w:i w:val="0"/>
          <w:sz w:val="21"/>
        </w:rPr>
        <w:t>泰铢贬值的影响并未停留在汇率层面。泰国银行与企业的外币负债以本币计价的偿付成本急剧上升，而大量以土地与项目作为抵押的资产价值随经济下行相对缩水，银行资本充足率迅速恶化。货币危机由此开始向内生的银行危机转化。1997年8月，IMF宣布对泰国提供约172亿美元的一揽子救助，条件包括关闭问题金融机构、加强金融监管、推进财政整顿以及提高汇率灵活性。然而，市场恐慌并未因此立即停止，区域性的重新定价已经开始。</w:t>
      </w:r>
    </w:p>
    <w:p w14:paraId="3DC1DA8A">
      <w:pPr>
        <w:spacing w:before="120" w:after="120"/>
        <w:ind w:firstLine="0"/>
      </w:pPr>
      <w:r>
        <w:rPr>
          <w:rFonts w:ascii="宋体" w:hAnsi="宋体" w:eastAsia="宋体" w:cs="宋体"/>
          <w:b/>
          <w:i w:val="0"/>
          <w:sz w:val="21"/>
        </w:rPr>
        <w:t>2.2 传染、韩国与印度尼西亚的深度危机</w:t>
      </w:r>
    </w:p>
    <w:p w14:paraId="40C1612A">
      <w:r>
        <w:rPr>
          <w:rFonts w:ascii="宋体" w:hAnsi="宋体" w:eastAsia="宋体" w:cs="宋体"/>
          <w:b w:val="0"/>
          <w:i w:val="0"/>
          <w:sz w:val="21"/>
        </w:rPr>
        <w:t>1997年下半年，危机迅速超越泰国国界。菲律宾在压力下允许比索贬值，马来西亚林吉特与印度尼西亚盾亦遭遇持续卖压。区域传染并非神秘现象，其渠道至少包括三方面：其一，共同持有区域资产的国际投资者在面对不确定性上升时，往往同步削减整个新兴亚洲敞口，而非精细区分各国基本面；</w:t>
      </w:r>
      <w:r>
        <w:rPr>
          <w:rFonts w:ascii="Segoe UI" w:hAnsi="Segoe UI" w:eastAsia="Segoe UI" w:cs="Segoe UI"/>
          <w:i w:val="0"/>
          <w:iCs w:val="0"/>
          <w:caps w:val="0"/>
          <w:spacing w:val="0"/>
          <w:sz w:val="21"/>
          <w:szCs w:val="21"/>
          <w:shd w:val="clear" w:fill="F8F8F8"/>
        </w:rPr>
        <w:t>其二，一国货币贬值会降低其出口品相对价格，使贸易联系紧密的邻国出口企业面临更大竞争压力；市场由此形成邻国跟进贬值的预期，进而触发竞争性贬值的连锁反应</w:t>
      </w:r>
      <w:r>
        <w:rPr>
          <w:rFonts w:hint="eastAsia" w:ascii="Segoe UI" w:hAnsi="Segoe UI" w:cs="Segoe UI"/>
          <w:i w:val="0"/>
          <w:iCs w:val="0"/>
          <w:caps w:val="0"/>
          <w:spacing w:val="0"/>
          <w:sz w:val="21"/>
          <w:szCs w:val="21"/>
          <w:shd w:val="clear" w:fill="F8F8F8"/>
          <w:lang w:eastAsia="zh-CN"/>
        </w:rPr>
        <w:t>；</w:t>
      </w:r>
      <w:r>
        <w:rPr>
          <w:rFonts w:ascii="宋体" w:hAnsi="宋体" w:eastAsia="宋体" w:cs="宋体"/>
          <w:b w:val="0"/>
          <w:i w:val="0"/>
          <w:sz w:val="21"/>
        </w:rPr>
        <w:t>其三，信息不完全条件下，一国</w:t>
      </w:r>
      <w:r>
        <w:rPr>
          <w:rFonts w:hint="eastAsia" w:cs="宋体"/>
          <w:b w:val="0"/>
          <w:i w:val="0"/>
          <w:sz w:val="21"/>
          <w:lang w:val="en-US" w:eastAsia="zh-CN"/>
        </w:rPr>
        <w:t>银行</w:t>
      </w:r>
      <w:r>
        <w:rPr>
          <w:rFonts w:ascii="宋体" w:hAnsi="宋体" w:eastAsia="宋体" w:cs="宋体"/>
          <w:b w:val="0"/>
          <w:i w:val="0"/>
          <w:sz w:val="21"/>
        </w:rPr>
        <w:t>或主权问题会被投资者解读为对整个东亚模式的否定，从而触发更大范围的资本外流。</w:t>
      </w:r>
    </w:p>
    <w:p w14:paraId="7B291F13">
      <w:r>
        <w:rPr>
          <w:rFonts w:ascii="宋体" w:hAnsi="宋体" w:eastAsia="宋体" w:cs="宋体"/>
          <w:b w:val="0"/>
          <w:i w:val="0"/>
          <w:sz w:val="21"/>
        </w:rPr>
        <w:t>韩国在1997年上半年的表现，一度使部分观察者认为其可以免受最严重冲击。然而，这一判断低估了韩国银行体系对短期外债的依赖以及财阀过度扩张所积累的隐性风险。1997年1月韩宝钢铁破产已暴露出财阀治理与信贷软约束问题，同年10月前后起亚等大型企业又相继陷入财务困境，银行对少数企业集团的高度集中授信与公司治理失效由此充分暴露。外国银行随即拒绝为韩国商业银行续作短期贷款，韩国面临典型的流动性危机：即使部分银行长期资产质量尚未完全崩溃，批发融资渠道的突然中断已足以引发系统性挤兑。Diamond与Dybvig（1983）所描述的挤兑逻辑，在韩国则表现为国际银行间市场对外汇批发融资的集中抽贷。</w:t>
      </w:r>
      <w:bookmarkStart w:id="0" w:name="_GoBack"/>
      <w:r>
        <w:rPr>
          <w:rFonts w:ascii="宋体" w:hAnsi="宋体" w:eastAsia="宋体" w:cs="宋体"/>
          <w:b w:val="0"/>
          <w:i w:val="0"/>
          <w:sz w:val="21"/>
        </w:rPr>
      </w:r>
      <w:bookmarkEnd w:id="0"/>
      <w:r>
        <w:rPr>
          <w:rFonts w:ascii="宋体" w:hAnsi="宋体" w:eastAsia="宋体" w:cs="宋体"/>
          <w:b w:val="0"/>
          <w:i w:val="0"/>
          <w:sz w:val="21"/>
        </w:rPr>
      </w:r>
    </w:p>
    <w:p w14:paraId="6F8147C3">
      <w:r>
        <w:rPr>
          <w:rFonts w:ascii="宋体" w:hAnsi="宋体" w:eastAsia="宋体" w:cs="宋体"/>
          <w:b w:val="0"/>
          <w:i w:val="0"/>
          <w:sz w:val="21"/>
        </w:rPr>
        <w:t>1997年11月，韩国政府向IMF求援；12月3日，IMF宣布对韩国约570亿美元的救助方案，为当时IMF史上最大规模之一。救助条件涵盖关闭或合并问题银行、提高资本充足率、限制财阀融资、推进汇率与利率市场化以及实施紧缩性宏观政策等。1997年12月至1998年初，韩元汇率暴跌，韩国股市大幅下挫，多家银行被国有化或关闭，1998年第一季度国内生产总值出现深度负增长。韩国案例表明，亚洲危机并非单纯的汇率危机，而是货币冲击、银行挤兑与实体部门去杠杆相互强化的综合过程。</w:t>
      </w:r>
    </w:p>
    <w:p w14:paraId="29C026A1">
      <w:r>
        <w:rPr>
          <w:rFonts w:ascii="宋体" w:hAnsi="宋体" w:eastAsia="宋体" w:cs="宋体"/>
          <w:b w:val="0"/>
          <w:i w:val="0"/>
          <w:sz w:val="21"/>
        </w:rPr>
        <w:t>印度尼西亚则是另一个极端。1998年1月，IMF与印尼签署第二轮救助协议，但市场对改革执行力的怀疑使印尼盾继续下跌。1998年5月，在严重通胀、物资短缺与社会抗议中，苏哈托总统下台，政治不确定性进一步打击市场信心。1998年，印度尼西亚国内生产总值收缩约13.1%，全年通胀率接近60%，银行体系几乎全面重组，贫困率显著上升。印尼经验说明，当金融崩溃与政治合法性危机相互叠加时，危机的社会成本将被极大放大，任何单纯从经济模型出发的政策设计都难以充分把握其复杂性。</w:t>
      </w:r>
    </w:p>
    <w:p w14:paraId="5787569C">
      <w:pPr>
        <w:spacing w:before="120" w:after="120"/>
        <w:ind w:firstLine="0"/>
      </w:pPr>
      <w:r>
        <w:rPr>
          <w:rFonts w:ascii="宋体" w:hAnsi="宋体" w:eastAsia="宋体" w:cs="宋体"/>
          <w:b/>
          <w:i w:val="0"/>
          <w:sz w:val="21"/>
        </w:rPr>
        <w:t>2.3 平息：重组、救助与差异化路径</w:t>
      </w:r>
    </w:p>
    <w:p w14:paraId="3C4502B2">
      <w:r>
        <w:rPr>
          <w:rFonts w:ascii="宋体" w:hAnsi="宋体" w:eastAsia="宋体" w:cs="宋体"/>
          <w:b w:val="0"/>
          <w:i w:val="0"/>
          <w:sz w:val="21"/>
        </w:rPr>
        <w:t>1998年下半年起，随着IMF救助、银行重组、存款担保扩展以及美国、日本等国的双边协调支持，区域金融形势逐步趋于稳定。韩国在1998年后半段汇率回稳，通过公共资金注入与韩国资产管理公司（KAMCO）处置坏账，银行体系逐步恢复中介功能，1999年恢复正增长。泰国通过金融重组局与资产管理公司推进银行资本重组，1999年国内生产总值亦回到正增长轨道。印度尼西亚的复苏相对缓慢，但银行重组与IMF改革仍在持续推进。</w:t>
      </w:r>
    </w:p>
    <w:p w14:paraId="0C13B00B">
      <w:r>
        <w:rPr>
          <w:rFonts w:ascii="宋体" w:hAnsi="宋体" w:eastAsia="宋体" w:cs="宋体"/>
          <w:b w:val="0"/>
          <w:i w:val="0"/>
          <w:sz w:val="21"/>
        </w:rPr>
        <w:t>马来西亚则提供了不同的政策路径。1998年9月，马来西亚政府在马哈蒂尔总理主导下实施资本管制并重新固定林吉特汇率，限制短期资本外流。这一做法在国际上引发广泛争议：支持者认为，在极端恐慌环境下，资本管制有助于恢复货币政策自主并稳定汇率；批评者则担心其损害长期投资信心并延缓结构改革。事后看，马来西亚1999年恢复正增长，说明在特定制度条件下，短期资本流动管理可以作为危机应对工具，但其经验能否一般化，仍取决于实施细节与配套改革，而非管制本身。</w:t>
      </w:r>
    </w:p>
    <w:p w14:paraId="197E1C22">
      <w:r>
        <w:rPr>
          <w:rFonts w:ascii="宋体" w:hAnsi="宋体" w:eastAsia="宋体" w:cs="宋体"/>
          <w:b w:val="0"/>
          <w:i w:val="0"/>
          <w:sz w:val="21"/>
        </w:rPr>
        <w:t>总体而言，亚洲金融危机从爆发到基本平息历时约18至24个月。其演化路径可以概括为：泰国房地产与金融脆弱性触发货币危机，区域金融传染使多国同时遭遇汇率与资本外流冲击，韩国与印度尼西亚的银行挤兑与实体崩溃将危机推向最深点，最终在国际救助与国内重组共同作用下逐步恢复稳定。这一路径的关键，在于理解货币冲击如何通过银行资产负债表渠道被急剧放大，而非仅停留在投机攻击的表层叙事。</w:t>
      </w:r>
    </w:p>
    <w:p w14:paraId="150197DF">
      <w:pPr>
        <w:spacing w:before="120" w:after="120"/>
        <w:ind w:firstLine="0"/>
      </w:pPr>
      <w:r>
        <w:rPr>
          <w:rFonts w:ascii="宋体" w:hAnsi="宋体" w:eastAsia="宋体" w:cs="宋体"/>
          <w:b/>
          <w:i w:val="0"/>
          <w:sz w:val="21"/>
        </w:rPr>
        <w:t>三、政策应对及其两难</w:t>
      </w:r>
    </w:p>
    <w:p w14:paraId="4795ADDB">
      <w:pPr>
        <w:spacing w:before="120" w:after="120"/>
        <w:ind w:firstLine="0"/>
      </w:pPr>
      <w:r>
        <w:rPr>
          <w:rFonts w:ascii="宋体" w:hAnsi="宋体" w:eastAsia="宋体" w:cs="宋体"/>
          <w:b/>
          <w:i w:val="0"/>
          <w:sz w:val="21"/>
        </w:rPr>
        <w:t>3.1 货币政策：捍卫汇率与维持国内金融稳定之间的冲突</w:t>
      </w:r>
    </w:p>
    <w:p w14:paraId="4A6E6FE0">
      <w:r>
        <w:rPr>
          <w:rFonts w:ascii="宋体" w:hAnsi="宋体" w:eastAsia="宋体" w:cs="宋体"/>
          <w:b w:val="0"/>
          <w:i w:val="0"/>
          <w:sz w:val="21"/>
        </w:rPr>
        <w:t>危机初期，泰国、菲律宾与印度尼西亚等国央行普遍采取高利率与外储干预并用的策略，试图在放弃固定汇率之前维持钉住。高利率理论上能够提高投机攻击成本，但在国内金融部门已高度脆弱、房地产与股市持续下行的背景下，它亦会加速企业违约与银行资本损耗，形成高利率在保卫汇率的同时进一步削弱国内金融体系的恶性循环。放弃固定汇率后，各国虽获得一定的货币政策自主性，却又面临本币贬值推高输入性通胀与外债负担的双重压力。</w:t>
      </w:r>
    </w:p>
    <w:p w14:paraId="4C5BCFBF">
      <w:r>
        <w:rPr>
          <w:rFonts w:ascii="宋体" w:hAnsi="宋体" w:eastAsia="宋体" w:cs="宋体"/>
          <w:b w:val="0"/>
          <w:i w:val="0"/>
          <w:sz w:val="21"/>
        </w:rPr>
        <w:t>IMF救助方案在初期普遍包含收紧货币与财政、提高汇率灵活性以及关闭问题机构等内容。Fischer（1998）从IMF视角强调，此类条件有助于恢复国际投资者信心并稳定本币；Stiglitz（2002）则批评，在亚洲私人部门杠杆已崩溃、银行体系亟需修复的情况下，统一而偏紧缩的模板可能加剧衰退，使银行不良贷款问题更难解决。韩国的经验在一定程度上支持后一种担忧：1998年深度衰退中，即使央行随后逐步放松流动性，银行资产负债表严重受损仍导致信贷供给长期低迷，实体复苏明显滞后于金融稳定指标改善。Bernanke（1983）关于信贷中介成本在危机后持续偏高的分析，为理解这一现象提供了重要理论工具：当银行体系本身成为冲击对象时，传统货币政策传导机制将显著受阻。</w:t>
      </w:r>
    </w:p>
    <w:p w14:paraId="245F553A">
      <w:pPr>
        <w:spacing w:before="120" w:after="120"/>
        <w:ind w:firstLine="0"/>
      </w:pPr>
      <w:r>
        <w:rPr>
          <w:rFonts w:ascii="宋体" w:hAnsi="宋体" w:eastAsia="宋体" w:cs="宋体"/>
          <w:b/>
          <w:i w:val="0"/>
          <w:sz w:val="21"/>
        </w:rPr>
        <w:t>3.2 财政政策与金融重组的财政成本</w:t>
      </w:r>
    </w:p>
    <w:p w14:paraId="5732F8D1">
      <w:r>
        <w:rPr>
          <w:rFonts w:ascii="宋体" w:hAnsi="宋体" w:eastAsia="宋体" w:cs="宋体"/>
          <w:b w:val="0"/>
          <w:i w:val="0"/>
          <w:sz w:val="21"/>
        </w:rPr>
        <w:t>财政政策在亚洲危机中扮演双重角色。一方面，IMF方案通常要求削减财政赤字、减少补贴并推进公共部门改革，以向国际市场发送财政纪律与改革承诺的信号。印度尼西亚削减燃料与食品补贴引发严重社会抗议，说明在脆弱社会结构中，财政紧缩可能产生超出经济层面的政治外部性。另一方面，危机后各国政府不得不以公共财政承担大规模银行重组成本：韩国通过公共资金注入国有化银行、收购不良资产；泰国成立金融重组局与资产管理公司；印度尼西亚建立印尼银行重组局（IBRA）处理银行坏账。这些措施在本质上是以政府信用置换私人金融部门的损失，短期恶化财政状况，但旨在防止系统性崩溃并恢复银行中介功能。</w:t>
      </w:r>
    </w:p>
    <w:p w14:paraId="77EB2581">
      <w:r>
        <w:rPr>
          <w:rFonts w:ascii="宋体" w:hAnsi="宋体" w:eastAsia="宋体" w:cs="宋体"/>
          <w:b w:val="0"/>
          <w:i w:val="0"/>
          <w:sz w:val="21"/>
        </w:rPr>
        <w:t>从政策设计角度看，亚洲危机表明，在深度银行危机中，单纯依赖紧缩而无足够公共资金支撑重组，难以迅速修复金融体系；但若公共注资缺乏透明定价与严格治理，又可能以新的道德风险为代价换取短期稳定。各国在关闭问题机构、对剩余银行实施资本重组以及通过资产管理公司处置不良贷款之间的不同组合，决定了复苏速度与财政负担的差异。</w:t>
      </w:r>
    </w:p>
    <w:p w14:paraId="305C8C22">
      <w:pPr>
        <w:spacing w:before="120" w:after="120"/>
        <w:ind w:firstLine="0"/>
      </w:pPr>
      <w:r>
        <w:rPr>
          <w:rFonts w:ascii="宋体" w:hAnsi="宋体" w:eastAsia="宋体" w:cs="宋体"/>
          <w:b/>
          <w:i w:val="0"/>
          <w:sz w:val="21"/>
        </w:rPr>
        <w:t>3.3 银行监管、存款担保与国际救助</w:t>
      </w:r>
    </w:p>
    <w:p w14:paraId="76CE279F">
      <w:r>
        <w:rPr>
          <w:rFonts w:ascii="宋体" w:hAnsi="宋体" w:eastAsia="宋体" w:cs="宋体"/>
          <w:b w:val="0"/>
          <w:i w:val="0"/>
          <w:sz w:val="21"/>
        </w:rPr>
        <w:t>银行重组是亚洲危机政策应对的核心。泰国在1997年关闭56家财务公司；韩国对多家资不抵债银行实施关闭、合并或国有化；印度尼西亚关闭大量银行并对剩余银行进行资本重组。此类措施的目的，在于迅速切断亏损源，防止问题机构在公共支持下继续累积风险。</w:t>
      </w:r>
    </w:p>
    <w:p w14:paraId="10A885C4">
      <w:r>
        <w:rPr>
          <w:rFonts w:ascii="宋体" w:hAnsi="宋体" w:eastAsia="宋体" w:cs="宋体"/>
          <w:b w:val="0"/>
          <w:i w:val="0"/>
          <w:sz w:val="21"/>
        </w:rPr>
        <w:t>存款担保的扩展在遏制挤兑方面发挥了关键作用。韩国在1997年底扩大存款担保范围，有效稳定了居民对银行体系的信心。这与1930年代美国银行危机后通过存款担保帮助结束挤兑的逻辑一致，但也说明，存款保险若缺乏事前严格监管，可能在事后以公共资金掩盖风险积累。亚洲危机后的改革因此普遍提高资本充足率要求、强化贷款分类标准、限制关联贷款与对单一客户敞口，并推动更透明的信息披露。</w:t>
      </w:r>
    </w:p>
    <w:p w14:paraId="38203C5A">
      <w:r>
        <w:rPr>
          <w:rFonts w:ascii="宋体" w:hAnsi="宋体" w:eastAsia="宋体" w:cs="宋体"/>
          <w:b w:val="0"/>
          <w:i w:val="0"/>
          <w:sz w:val="21"/>
        </w:rPr>
        <w:t>在国际层面，IMF对泰国、韩国与印度尼西亚的救助提供了关键的官方流动性，美国、日本与澳大利亚等国亦通过双边渠道参与资金支持。Lane等（1999）对三国IMF支持项目的初步评估指出，官方流动性在打破贬值、外债上升与资本进一步外流相互强化的恶性循环中具有重要作用，但改革条件的设计与执行节奏，仍需与各国具体的危机类型及社会承受能力相匹配。韩国更接近流动性危机，泰国与印度尼西亚则同时面临结构性银行问题，政策模板过于单一的做法因此受到持续批评。</w:t>
      </w:r>
    </w:p>
    <w:p w14:paraId="76DA08F3">
      <w:r>
        <w:rPr>
          <w:rFonts w:ascii="宋体" w:hAnsi="宋体" w:eastAsia="宋体" w:cs="宋体"/>
          <w:b w:val="0"/>
          <w:i w:val="0"/>
          <w:sz w:val="21"/>
        </w:rPr>
        <w:t>马来西亚的资本管制则构成了与IMF路径并行的另一种实验。它说明，在极端市场恐慌下，短期资本流动管理并非完全不可行，但其代价在于可能延缓金融市场深化，并对外国投资者构成制度不确定性。亚洲危机因此留下的政策遗产，并非在全面自由化与全面管制之间作简单取舍，而是如何在开放、稳定与改革之间建立动态平衡。</w:t>
      </w:r>
    </w:p>
    <w:p w14:paraId="3FD6D524">
      <w:pPr>
        <w:spacing w:before="120" w:after="120"/>
        <w:ind w:firstLine="0"/>
      </w:pPr>
      <w:r>
        <w:rPr>
          <w:rFonts w:ascii="宋体" w:hAnsi="宋体" w:eastAsia="宋体" w:cs="宋体"/>
          <w:b/>
          <w:i w:val="0"/>
          <w:sz w:val="21"/>
        </w:rPr>
        <w:t>四、成因机制：货币、银行与国际因素的交织</w:t>
      </w:r>
    </w:p>
    <w:p w14:paraId="7BED9C13">
      <w:r>
        <w:rPr>
          <w:rFonts w:ascii="宋体" w:hAnsi="宋体" w:eastAsia="宋体" w:cs="宋体"/>
          <w:b w:val="0"/>
          <w:i w:val="0"/>
          <w:sz w:val="21"/>
        </w:rPr>
        <w:t>对亚洲金融危机成因的理解，不应简化为若干因素的并列罗列，而应将其视为多重机制在同一时间窗口内相互强化的结果。</w:t>
      </w:r>
    </w:p>
    <w:p w14:paraId="60B83920">
      <w:r>
        <w:rPr>
          <w:rFonts w:ascii="宋体" w:hAnsi="宋体" w:eastAsia="宋体" w:cs="宋体"/>
          <w:b w:val="0"/>
          <w:i w:val="0"/>
          <w:sz w:val="21"/>
        </w:rPr>
        <w:t>从货币层面看，固定汇率与资本自由流动的组合使东亚经济体在1990年代中期享受了低通胀与资本流入的好处，但也使本国货币政策失去独立性，并在外部冲击到来时以外汇储备消耗的形式集中暴露不可持续性。当短期外债规模接近或超过外汇储备，市场有充分理由怀疑政府维持钉住的能力，贬值预期因此具有自我实现性。本币贬值一旦发生，便通过外币负债的资产负债表效应，将原本尚可控制的货币冲击转化为银行与企业的偿付危机。Krugman（1998）与Corsetti、Pesenti与Roubini（1999）均强调，亚洲危机不能脱离这一货币与金融联动机制来理解。</w:t>
      </w:r>
    </w:p>
    <w:p w14:paraId="5BE4E08C">
      <w:r>
        <w:rPr>
          <w:rFonts w:ascii="宋体" w:hAnsi="宋体" w:eastAsia="宋体" w:cs="宋体"/>
          <w:b w:val="0"/>
          <w:i w:val="0"/>
          <w:sz w:val="21"/>
        </w:rPr>
        <w:t>从银行层面看，金融自由化推进速度显著快于监管能力建设，是脆弱性积累的核心国内因素。利率与业务竞争加剧、关联贷款普遍、房地产相关信贷过度扩张以及官方对大型机构与汇率稳定的隐性担保，共同造就了高杠杆、低透明、弱约束的银行体系。当外部流动性收紧或资产价格逆转时，银行不仅面临不良贷款上升，还面临批发融资中断所触发的挤兑风险。韩国与印度尼西亚的深度银行危机表明，即使一国具有相对完整的工业体系与出口能力，银行体系一旦同时遭遇货币冲击与流动性冻结，实体部门亦难以独善其身。Goldstein（1998）将亚洲危机概括为基本脆弱性与市场突然重新定价相结合，这一判断在银行维度上尤为准确。</w:t>
      </w:r>
    </w:p>
    <w:p w14:paraId="5A0C81D5">
      <w:r>
        <w:rPr>
          <w:rFonts w:ascii="宋体" w:hAnsi="宋体" w:eastAsia="宋体" w:cs="宋体"/>
          <w:b w:val="0"/>
          <w:i w:val="0"/>
          <w:sz w:val="21"/>
        </w:rPr>
        <w:t>从国际层面看，亚洲危机具有明显的传染特征。1990年代中期，低日元利率环境推动日本银行与投资者向东南亚提供大量融资；1996至1997年日元走势与全球风险偏好变化，使区域流动性条件收紧。与此同时，中国制造业竞争力上升使部分东盟国家出口与经常账户承压，为市场重新评估汇率水平提供了基本面叙事。更重要的是，在国际投资者风险预算约束下，一国危机往往触发对整个新兴亚洲资产类别的同步减持，这种按区域整体调整风险敞口的做法，与各国基本面差异并不总是严格对应。Kindleberger（1978）所描述的多米诺式恐慌，在亚洲危机中得到了清晰体现。</w:t>
      </w:r>
    </w:p>
    <w:p w14:paraId="774C6351">
      <w:r>
        <w:rPr>
          <w:rFonts w:ascii="宋体" w:hAnsi="宋体" w:eastAsia="宋体" w:cs="宋体"/>
          <w:b w:val="0"/>
          <w:i w:val="0"/>
          <w:sz w:val="21"/>
        </w:rPr>
        <w:t>将上述三个层面综合起来，可以得到如下判断：亚洲金融危机并非由单一国际投机攻击或单一国内政策失误所导致，而是在长期高增长与金融深化背景下，固定汇率与短期资本流动约束放大了金融自由化过程中的激励扭曲，泰国房地产与金融部门问题提供了直接触发点，银行体系的期限错配、货币错配与隐性担保则使货币冲击迅速深化为银行危机与实体衰退，全球流动性周期变化与区域传染效应进一步解释了危机的多国同步性与异常深度。Eichengreen（2002）在讨论20世纪多次金融危机时指出，理解危机的关键在于识别脆弱性如何积累，以及何种冲击使积累转化为崩溃；1997年亚洲危机为这一命题提供了20世纪末最具说服力的案例之一。</w:t>
      </w:r>
    </w:p>
    <w:p w14:paraId="3DEDD39E">
      <w:pPr>
        <w:spacing w:before="120" w:after="120"/>
        <w:ind w:firstLine="0"/>
      </w:pPr>
      <w:r>
        <w:rPr>
          <w:rFonts w:ascii="宋体" w:hAnsi="宋体" w:eastAsia="宋体" w:cs="宋体"/>
          <w:b/>
          <w:i w:val="0"/>
          <w:sz w:val="21"/>
        </w:rPr>
        <w:t>五、本节小结</w:t>
      </w:r>
    </w:p>
    <w:p w14:paraId="78579A82">
      <w:r>
        <w:rPr>
          <w:rFonts w:ascii="宋体" w:hAnsi="宋体" w:eastAsia="宋体" w:cs="宋体"/>
          <w:b w:val="0"/>
          <w:i w:val="0"/>
          <w:sz w:val="21"/>
        </w:rPr>
        <w:t>1997年亚洲金融危机是货币危机与银行危机相互交织的系统性事件。其爆发具有突然性，但根源在于东亚经济体在1990年代前半期形成的不可持续金融结构：在高增长与金融自由化背景下，固定汇率、资本账户开放、短期外债扩张以及银行体系对房地产与关联企业的过度敞口，共同推高了金融脆弱性。泰国泰铢在1997年7月的失守是这一结构修正的起点，而非唯一原因；危机随后通过银行资产负债表渠道与国际资本流动渠道扩散至韩国、印度尼西亚等国，并在部分经济体引发深度衰退与政治动荡。</w:t>
      </w:r>
    </w:p>
    <w:p w14:paraId="51E76B70">
      <w:r>
        <w:rPr>
          <w:rFonts w:ascii="宋体" w:hAnsi="宋体" w:eastAsia="宋体" w:cs="宋体"/>
          <w:b w:val="0"/>
          <w:i w:val="0"/>
          <w:sz w:val="21"/>
        </w:rPr>
        <w:t>政策应对方面，亚洲危机表明，放弃不可持续的固定汇率、提供官方流动性、实施银行重组与存款担保，是打破恶性循环的必要条件；但紧缩性宏观条件与社会承受能力之间的张力、公共注资与道德风险之间的张力，以及资本管制与金融开放之间的张力，始终存在。不同经济体因危机类型与政治结构差异，在IMF模板、资本管制与重组速度上选择了不同路径，其复苏表现亦随之分化。</w:t>
      </w:r>
    </w:p>
    <w:p w14:paraId="7A188DD6">
      <w:r>
        <w:rPr>
          <w:rFonts w:ascii="宋体" w:hAnsi="宋体" w:eastAsia="宋体" w:cs="宋体"/>
          <w:b w:val="0"/>
          <w:i w:val="0"/>
          <w:sz w:val="21"/>
        </w:rPr>
        <w:t>从成因上看，亚洲危机是货币、银行与国际因素在同一时间窗口内相互强化的结果，而非单一投机攻击或单一政策失误所能解释。对新兴市场经济体而言，其启示在于：金融开放须与监管能力、汇率制度及资本流动管理协调推进；金融稳定从来不是增长的自动副产品，而是需要持续维护的公共品。</w:t>
      </w:r>
    </w:p>
    <w:p w14:paraId="7A05FFBE">
      <w:pPr>
        <w:spacing w:before="120" w:after="120"/>
        <w:ind w:firstLine="0"/>
      </w:pPr>
      <w:r>
        <w:rPr>
          <w:rFonts w:ascii="宋体" w:hAnsi="宋体" w:eastAsia="宋体" w:cs="宋体"/>
          <w:b/>
          <w:i w:val="0"/>
          <w:sz w:val="21"/>
        </w:rPr>
        <w:t>参考文献</w:t>
      </w:r>
    </w:p>
    <w:p w14:paraId="250C1AAB">
      <w:pPr>
        <w:rPr>
          <w:rFonts w:ascii="宋体" w:hAnsi="宋体" w:eastAsia="宋体" w:cs="宋体"/>
          <w:b w:val="0"/>
          <w:i w:val="0"/>
          <w:sz w:val="21"/>
        </w:rPr>
      </w:pPr>
      <w:r>
        <w:rPr>
          <w:rFonts w:ascii="宋体" w:hAnsi="宋体" w:eastAsia="宋体" w:cs="宋体"/>
          <w:b w:val="0"/>
          <w:i w:val="0"/>
          <w:sz w:val="21"/>
        </w:rPr>
        <w:t>Bernanke, B. S. (1983). Nonmonetary effects of the financial crisis in the propagation of the Great Depression. American Economic Review</w:t>
      </w:r>
      <w:r>
        <w:rPr>
          <w:rFonts w:ascii="宋体" w:hAnsi="宋体" w:eastAsia="宋体" w:cs="宋体"/>
          <w:b w:val="0"/>
          <w:i w:val="0"/>
          <w:sz w:val="21"/>
        </w:rPr>
        <w:t>, 73(3), 257–276.</w:t>
      </w:r>
    </w:p>
    <w:p w14:paraId="653699FF">
      <w:pPr>
        <w:rPr>
          <w:rFonts w:ascii="宋体" w:hAnsi="宋体" w:eastAsia="宋体" w:cs="宋体"/>
          <w:b w:val="0"/>
          <w:i w:val="0"/>
          <w:sz w:val="21"/>
        </w:rPr>
      </w:pPr>
      <w:r>
        <w:rPr>
          <w:rFonts w:ascii="宋体" w:hAnsi="宋体" w:eastAsia="宋体" w:cs="宋体"/>
          <w:b w:val="0"/>
          <w:i w:val="0"/>
          <w:sz w:val="21"/>
        </w:rPr>
        <w:t>Corsetti, G., Pesenti, P., &amp; Roubini, N. (1999). Paper tigers? A model of the Asian crisis. European Economic Review</w:t>
      </w:r>
      <w:r>
        <w:rPr>
          <w:rFonts w:ascii="宋体" w:hAnsi="宋体" w:eastAsia="宋体" w:cs="宋体"/>
          <w:b w:val="0"/>
          <w:i w:val="0"/>
          <w:sz w:val="21"/>
        </w:rPr>
        <w:t>, 43(7), 1211–1236.</w:t>
      </w:r>
    </w:p>
    <w:p w14:paraId="06F6ED33">
      <w:pPr>
        <w:rPr>
          <w:rFonts w:ascii="宋体" w:hAnsi="宋体" w:eastAsia="宋体" w:cs="宋体"/>
          <w:b w:val="0"/>
          <w:i w:val="0"/>
          <w:sz w:val="21"/>
        </w:rPr>
      </w:pPr>
      <w:r>
        <w:rPr>
          <w:rFonts w:ascii="宋体" w:hAnsi="宋体" w:eastAsia="宋体" w:cs="宋体"/>
          <w:b w:val="0"/>
          <w:i w:val="0"/>
          <w:sz w:val="21"/>
        </w:rPr>
        <w:t>Demirgüç-Kunt, A., &amp; Detragiache, E. (1999). Financial liberalization and financial fragility. In B. Pleskovic &amp; J. E. Stiglitz (Eds.), Proceedings of the World Bank Annual Conference on Development Economics</w:t>
      </w:r>
      <w:r>
        <w:rPr>
          <w:rFonts w:ascii="宋体" w:hAnsi="宋体" w:eastAsia="宋体" w:cs="宋体"/>
          <w:b w:val="0"/>
          <w:i w:val="0"/>
          <w:sz w:val="21"/>
        </w:rPr>
        <w:t>.</w:t>
      </w:r>
    </w:p>
    <w:p w14:paraId="7000E562">
      <w:pPr>
        <w:rPr>
          <w:rFonts w:ascii="宋体" w:hAnsi="宋体" w:eastAsia="宋体" w:cs="宋体"/>
          <w:b w:val="0"/>
          <w:i w:val="0"/>
          <w:sz w:val="21"/>
        </w:rPr>
      </w:pPr>
      <w:r>
        <w:rPr>
          <w:rFonts w:ascii="宋体" w:hAnsi="宋体" w:eastAsia="宋体" w:cs="宋体"/>
          <w:b w:val="0"/>
          <w:i w:val="0"/>
          <w:sz w:val="21"/>
        </w:rPr>
        <w:t>Diamond, D. W., &amp; Dybvig, P. H. (1983). Bank runs, deposit insurance, and liquidity. Journal of Political Economy</w:t>
      </w:r>
      <w:r>
        <w:rPr>
          <w:rFonts w:ascii="宋体" w:hAnsi="宋体" w:eastAsia="宋体" w:cs="宋体"/>
          <w:b w:val="0"/>
          <w:i w:val="0"/>
          <w:sz w:val="21"/>
        </w:rPr>
        <w:t>, 91(3), 401–419.</w:t>
      </w:r>
    </w:p>
    <w:p w14:paraId="7F1FFABA">
      <w:pPr>
        <w:rPr>
          <w:rFonts w:ascii="宋体" w:hAnsi="宋体" w:eastAsia="宋体" w:cs="宋体"/>
          <w:b w:val="0"/>
          <w:i w:val="0"/>
          <w:sz w:val="21"/>
        </w:rPr>
      </w:pPr>
      <w:r>
        <w:rPr>
          <w:rFonts w:ascii="宋体" w:hAnsi="宋体" w:eastAsia="宋体" w:cs="宋体"/>
          <w:b w:val="0"/>
          <w:i w:val="0"/>
          <w:sz w:val="21"/>
        </w:rPr>
        <w:t>Eichengreen, B. (2002). Financial Crises and What to Do About Them</w:t>
      </w:r>
      <w:r>
        <w:rPr>
          <w:rFonts w:ascii="宋体" w:hAnsi="宋体" w:eastAsia="宋体" w:cs="宋体"/>
          <w:b w:val="0"/>
          <w:i w:val="0"/>
          <w:sz w:val="21"/>
        </w:rPr>
        <w:t>. Oxford University Press.</w:t>
      </w:r>
    </w:p>
    <w:p w14:paraId="2FC91A95">
      <w:pPr>
        <w:rPr>
          <w:rFonts w:ascii="宋体" w:hAnsi="宋体" w:eastAsia="宋体" w:cs="宋体"/>
          <w:b w:val="0"/>
          <w:i w:val="0"/>
          <w:sz w:val="21"/>
        </w:rPr>
      </w:pPr>
      <w:r>
        <w:rPr>
          <w:rFonts w:ascii="宋体" w:hAnsi="宋体" w:eastAsia="宋体" w:cs="宋体"/>
          <w:b w:val="0"/>
          <w:i w:val="0"/>
          <w:sz w:val="21"/>
        </w:rPr>
        <w:t>Fischer, S. (1998). The Asian crisis: A view from the IMF. Journal of International Money and Finance</w:t>
      </w:r>
      <w:r>
        <w:rPr>
          <w:rFonts w:ascii="宋体" w:hAnsi="宋体" w:eastAsia="宋体" w:cs="宋体"/>
          <w:b w:val="0"/>
          <w:i w:val="0"/>
          <w:sz w:val="21"/>
        </w:rPr>
        <w:t>, 18(2), 167–175.</w:t>
      </w:r>
    </w:p>
    <w:p w14:paraId="3172E5D8">
      <w:pPr>
        <w:rPr>
          <w:rFonts w:ascii="宋体" w:hAnsi="宋体" w:eastAsia="宋体" w:cs="宋体"/>
          <w:b w:val="0"/>
          <w:i w:val="0"/>
          <w:sz w:val="21"/>
        </w:rPr>
      </w:pPr>
      <w:r>
        <w:rPr>
          <w:rFonts w:ascii="宋体" w:hAnsi="宋体" w:eastAsia="宋体" w:cs="宋体"/>
          <w:b w:val="0"/>
          <w:i w:val="0"/>
          <w:sz w:val="21"/>
        </w:rPr>
        <w:t>Goldstein, M. (1998). The Asian Financial Crisis: Causes, Cures, and Systemic Implications</w:t>
      </w:r>
      <w:r>
        <w:rPr>
          <w:rFonts w:ascii="宋体" w:hAnsi="宋体" w:eastAsia="宋体" w:cs="宋体"/>
          <w:b w:val="0"/>
          <w:i w:val="0"/>
          <w:sz w:val="21"/>
        </w:rPr>
        <w:t>. Peterson Institute for International Economics.</w:t>
      </w:r>
    </w:p>
    <w:p w14:paraId="2940B016">
      <w:pPr>
        <w:rPr>
          <w:rFonts w:ascii="宋体" w:hAnsi="宋体" w:eastAsia="宋体" w:cs="宋体"/>
          <w:b w:val="0"/>
          <w:i w:val="0"/>
          <w:sz w:val="21"/>
        </w:rPr>
      </w:pPr>
      <w:r>
        <w:rPr>
          <w:rFonts w:ascii="宋体" w:hAnsi="宋体" w:eastAsia="宋体" w:cs="宋体"/>
          <w:b w:val="0"/>
          <w:i w:val="0"/>
          <w:sz w:val="21"/>
        </w:rPr>
        <w:t>Kindleberger, C. P. (1978). Manias, Panics, and Crashes</w:t>
      </w:r>
      <w:r>
        <w:rPr>
          <w:rFonts w:ascii="宋体" w:hAnsi="宋体" w:eastAsia="宋体" w:cs="宋体"/>
          <w:b w:val="0"/>
          <w:i w:val="0"/>
          <w:sz w:val="21"/>
        </w:rPr>
        <w:t>. Basic Books.</w:t>
      </w:r>
    </w:p>
    <w:p w14:paraId="4FD4F802">
      <w:pPr>
        <w:rPr>
          <w:rFonts w:ascii="宋体" w:hAnsi="宋体" w:eastAsia="宋体" w:cs="宋体"/>
          <w:b w:val="0"/>
          <w:i w:val="0"/>
          <w:sz w:val="21"/>
        </w:rPr>
      </w:pPr>
      <w:r>
        <w:rPr>
          <w:rFonts w:ascii="宋体" w:hAnsi="宋体" w:eastAsia="宋体" w:cs="宋体"/>
          <w:b w:val="0"/>
          <w:i w:val="0"/>
          <w:sz w:val="21"/>
        </w:rPr>
        <w:t>Krugman, P. (1979). A model of balance-of-payments crises. Journal of Money, Credit and Banking</w:t>
      </w:r>
      <w:r>
        <w:rPr>
          <w:rFonts w:ascii="宋体" w:hAnsi="宋体" w:eastAsia="宋体" w:cs="宋体"/>
          <w:b w:val="0"/>
          <w:i w:val="0"/>
          <w:sz w:val="21"/>
        </w:rPr>
        <w:t>, 11(3), 311–325.</w:t>
      </w:r>
    </w:p>
    <w:p w14:paraId="5AF68911">
      <w:pPr>
        <w:rPr>
          <w:rFonts w:ascii="宋体" w:hAnsi="宋体" w:eastAsia="宋体" w:cs="宋体"/>
          <w:b w:val="0"/>
          <w:i w:val="0"/>
          <w:sz w:val="21"/>
        </w:rPr>
      </w:pPr>
      <w:r>
        <w:rPr>
          <w:rFonts w:ascii="宋体" w:hAnsi="宋体" w:eastAsia="宋体" w:cs="宋体"/>
          <w:b w:val="0"/>
          <w:i w:val="0"/>
          <w:sz w:val="21"/>
        </w:rPr>
        <w:t>Krugman, P. (1998). What happened to Asia? MIT mimeo.</w:t>
      </w:r>
    </w:p>
    <w:p w14:paraId="1C47E148">
      <w:pPr>
        <w:rPr>
          <w:rFonts w:ascii="宋体" w:hAnsi="宋体" w:eastAsia="宋体" w:cs="宋体"/>
          <w:b w:val="0"/>
          <w:i w:val="0"/>
          <w:sz w:val="21"/>
        </w:rPr>
      </w:pPr>
      <w:r>
        <w:rPr>
          <w:rFonts w:ascii="宋体" w:hAnsi="宋体" w:eastAsia="宋体" w:cs="宋体"/>
          <w:b w:val="0"/>
          <w:i w:val="0"/>
          <w:sz w:val="21"/>
        </w:rPr>
        <w:t>Lane, T., et al. (1999). IMF-supported programs in Indonesia, Korea, and Thailand: A preliminary assessment. IMF Occasional Paper</w:t>
      </w:r>
      <w:r>
        <w:rPr>
          <w:rFonts w:ascii="宋体" w:hAnsi="宋体" w:eastAsia="宋体" w:cs="宋体"/>
          <w:b w:val="0"/>
          <w:i w:val="0"/>
          <w:sz w:val="21"/>
        </w:rPr>
        <w:t xml:space="preserve"> No. 178.</w:t>
      </w:r>
    </w:p>
    <w:p w14:paraId="36B8A87D">
      <w:pPr>
        <w:rPr>
          <w:rFonts w:ascii="宋体" w:hAnsi="宋体" w:eastAsia="宋体" w:cs="宋体"/>
          <w:b w:val="0"/>
          <w:i w:val="0"/>
          <w:sz w:val="21"/>
        </w:rPr>
      </w:pPr>
      <w:r>
        <w:rPr>
          <w:rFonts w:ascii="宋体" w:hAnsi="宋体" w:eastAsia="宋体" w:cs="宋体"/>
          <w:b w:val="0"/>
          <w:i w:val="0"/>
          <w:sz w:val="21"/>
        </w:rPr>
        <w:t>Minsky, H. P. (1986). Stabilizing an Unstable Economy</w:t>
      </w:r>
      <w:r>
        <w:rPr>
          <w:rFonts w:ascii="宋体" w:hAnsi="宋体" w:eastAsia="宋体" w:cs="宋体"/>
          <w:b w:val="0"/>
          <w:i w:val="0"/>
          <w:sz w:val="21"/>
        </w:rPr>
        <w:t>. Yale University Press.</w:t>
      </w:r>
    </w:p>
    <w:p w14:paraId="2F5192AD">
      <w:pPr>
        <w:rPr>
          <w:rFonts w:ascii="宋体" w:hAnsi="宋体" w:eastAsia="宋体" w:cs="宋体"/>
          <w:b w:val="0"/>
          <w:i w:val="0"/>
          <w:sz w:val="21"/>
        </w:rPr>
      </w:pPr>
      <w:r>
        <w:rPr>
          <w:rFonts w:ascii="宋体" w:hAnsi="宋体" w:eastAsia="宋体" w:cs="宋体"/>
          <w:b w:val="0"/>
          <w:i w:val="0"/>
          <w:sz w:val="21"/>
        </w:rPr>
        <w:t>Obstfeld, M. (1994). The logic of currency crises. Cahiers Économiques et Monétaires</w:t>
      </w:r>
      <w:r>
        <w:rPr>
          <w:rFonts w:ascii="宋体" w:hAnsi="宋体" w:eastAsia="宋体" w:cs="宋体"/>
          <w:b w:val="0"/>
          <w:i w:val="0"/>
          <w:sz w:val="21"/>
        </w:rPr>
        <w:t>, 43, 189–213.</w:t>
      </w:r>
    </w:p>
    <w:p w14:paraId="312ABA90">
      <w:pPr>
        <w:rPr>
          <w:rFonts w:ascii="宋体" w:hAnsi="宋体" w:eastAsia="宋体" w:cs="宋体"/>
          <w:b w:val="0"/>
          <w:i w:val="0"/>
          <w:sz w:val="21"/>
        </w:rPr>
      </w:pPr>
      <w:r>
        <w:rPr>
          <w:rFonts w:ascii="宋体" w:hAnsi="宋体" w:eastAsia="宋体" w:cs="宋体"/>
          <w:b w:val="0"/>
          <w:i w:val="0"/>
          <w:sz w:val="21"/>
        </w:rPr>
        <w:t>Stiglitz, J. E. (2002). Globalization and Its Discontents</w:t>
      </w:r>
      <w:r>
        <w:rPr>
          <w:rFonts w:ascii="宋体" w:hAnsi="宋体" w:eastAsia="宋体" w:cs="宋体"/>
          <w:b w:val="0"/>
          <w:i w:val="0"/>
          <w:sz w:val="21"/>
        </w:rPr>
        <w:t>. W. W. Norton.</w:t>
      </w:r>
    </w:p>
    <w:p w14:paraId="58D2FC33">
      <w:pPr>
        <w:rPr>
          <w:rFonts w:ascii="宋体" w:hAnsi="宋体" w:eastAsia="宋体" w:cs="宋体"/>
          <w:b w:val="0"/>
          <w:i w:val="0"/>
          <w:sz w:val="21"/>
        </w:rPr>
      </w:pPr>
      <w:r>
        <w:rPr>
          <w:rFonts w:ascii="宋体" w:hAnsi="宋体" w:eastAsia="宋体" w:cs="宋体"/>
          <w:b w:val="0"/>
          <w:i w:val="0"/>
          <w:sz w:val="21"/>
        </w:rPr>
        <w:t>Stiglitz, J. E., &amp; Weiss, A. (1981). Credit rationing in markets with imperfect information. American Economic Review</w:t>
      </w:r>
      <w:r>
        <w:rPr>
          <w:rFonts w:ascii="宋体" w:hAnsi="宋体" w:eastAsia="宋体" w:cs="宋体"/>
          <w:b w:val="0"/>
          <w:i w:val="0"/>
          <w:sz w:val="21"/>
        </w:rPr>
        <w:t>, 71(3), 393–410.</w:t>
      </w:r>
    </w:p>
    <w:p w14:paraId="7FDD16A2">
      <w:pPr>
        <w:spacing w:before="120" w:after="120"/>
        <w:ind w:firstLine="0"/>
      </w:pPr>
      <w:r>
        <w:rPr>
          <w:rFonts w:ascii="宋体" w:hAnsi="宋体" w:eastAsia="宋体" w:cs="宋体"/>
          <w:b/>
          <w:i w:val="0"/>
          <w:sz w:val="21"/>
        </w:rPr>
        <w:t>图表说明</w:t>
      </w:r>
    </w:p>
    <w:p w14:paraId="08728593">
      <w:r>
        <w:rPr>
          <w:rFonts w:ascii="宋体" w:hAnsi="宋体" w:eastAsia="宋体" w:cs="宋体"/>
          <w:b w:val="0"/>
          <w:i w:val="0"/>
          <w:sz w:val="21"/>
        </w:rPr>
        <w:t>正式提交时，建议在正文中插入以下图形，并在图下注明数据来源。图形应服务于论证而非替代论证。</w:t>
      </w:r>
    </w:p>
    <w:p w14:paraId="3B738A46">
      <w:r>
        <w:rPr>
          <w:rFonts w:ascii="宋体" w:hAnsi="宋体" w:eastAsia="宋体" w:cs="宋体"/>
          <w:b/>
          <w:i w:val="0"/>
          <w:sz w:val="21"/>
        </w:rPr>
        <w:t>图1</w:t>
      </w:r>
      <w:r>
        <w:rPr>
          <w:rFonts w:ascii="宋体" w:hAnsi="宋体" w:eastAsia="宋体" w:cs="宋体"/>
          <w:b w:val="0"/>
          <w:i w:val="0"/>
          <w:sz w:val="21"/>
        </w:rPr>
        <w:t xml:space="preserve"> 泰国、韩国、印度尼西亚、马来西亚与菲律宾名义有效汇率指数（1997年1月至1999年12月，以1997年6月为100）。该图用于第二部分，直观展示危机爆发后的同步贬值与1998年下半年后的逐步趋稳。数据来源：IMF International Financial Statistics；BIS effective exchange rate indices。</w:t>
      </w:r>
    </w:p>
    <w:p w14:paraId="3FEC9411">
      <w:r>
        <w:rPr>
          <w:rFonts w:ascii="宋体" w:hAnsi="宋体" w:eastAsia="宋体" w:cs="宋体"/>
          <w:b/>
          <w:i w:val="0"/>
          <w:sz w:val="21"/>
        </w:rPr>
        <w:t>图2</w:t>
      </w:r>
      <w:r>
        <w:rPr>
          <w:rFonts w:ascii="宋体" w:hAnsi="宋体" w:eastAsia="宋体" w:cs="宋体"/>
          <w:b w:val="0"/>
          <w:i w:val="0"/>
          <w:sz w:val="21"/>
        </w:rPr>
        <w:t xml:space="preserve"> 1990—1997年泰国、韩国、印度尼西亚短期外债与外汇储备之比。该图用于第一部分，说明危机前外部脆弱性指标已持续恶化。数据来源：BIS locational banking statistics；各国央行；World Bank Global Development Finance。</w:t>
      </w:r>
    </w:p>
    <w:p w14:paraId="35887FA2">
      <w:r>
        <w:rPr>
          <w:rFonts w:ascii="宋体" w:hAnsi="宋体" w:eastAsia="宋体" w:cs="宋体"/>
          <w:b/>
          <w:i w:val="0"/>
          <w:sz w:val="21"/>
        </w:rPr>
        <w:t>图3</w:t>
      </w:r>
      <w:r>
        <w:rPr>
          <w:rFonts w:ascii="宋体" w:hAnsi="宋体" w:eastAsia="宋体" w:cs="宋体"/>
          <w:b w:val="0"/>
          <w:i w:val="0"/>
          <w:sz w:val="21"/>
        </w:rPr>
        <w:t xml:space="preserve"> 1995—1999年泰国、韩国、印度尼西亚、马来西亚实际GDP同比增速。该图用于第二、三部分，展示危机冲击的时间分布与各国衰退深度差异。数据来源：World Bank World Development Indicators；IMF World Economic Outlook。</w:t>
      </w:r>
    </w:p>
    <w:p w14:paraId="69E3587D">
      <w:r>
        <w:rPr>
          <w:rFonts w:ascii="宋体" w:hAnsi="宋体" w:eastAsia="宋体" w:cs="宋体"/>
          <w:b/>
          <w:i w:val="0"/>
          <w:sz w:val="21"/>
        </w:rPr>
        <w:t>表1</w:t>
      </w:r>
      <w:r>
        <w:rPr>
          <w:rFonts w:ascii="宋体" w:hAnsi="宋体" w:eastAsia="宋体" w:cs="宋体"/>
          <w:b w:val="0"/>
          <w:i w:val="0"/>
          <w:sz w:val="21"/>
        </w:rPr>
        <w:t xml:space="preserve"> 1997—1998年主要经济体IMF救助规模、银行重组措施与宏观结果（GDP增速、通胀、汇率贬值幅度）。该表作为第三部分政策评估的补充。数据来源：IMF；Lane et al. (1999)；各国央行与财政部年度报告。</w:t>
      </w: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35243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ind w:firstLine="420"/>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8063</Words>
  <Characters>9895</Characters>
  <Lines>0</Lines>
  <Paragraphs>0</Paragraphs>
  <TotalTime>29</TotalTime>
  <ScaleCrop>false</ScaleCrop>
  <LinksUpToDate>false</LinksUpToDate>
  <CharactersWithSpaces>10169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张昊森</cp:lastModifiedBy>
  <dcterms:modified xsi:type="dcterms:W3CDTF">2026-07-06T08:48:44Z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eyJoZGlkIjoiY2UxNzQwNjQ1YjMyNmRiODdiNGRmZDliYWQ0YTIwNDEiLCJ1c2VySWQiOiIxNDIzMTMwMDc1In0=</vt:lpwstr>
  </property>
  <property fmtid="{D5CDD505-2E9C-101B-9397-08002B2CF9AE}" pid="3" name="KSOProductBuildVer">
    <vt:lpwstr>2052-12.1.0.26895</vt:lpwstr>
  </property>
  <property fmtid="{D5CDD505-2E9C-101B-9397-08002B2CF9AE}" pid="4" name="ICV">
    <vt:lpwstr>3BF3172A61E943A8922AEAB9D835E6BF_12</vt:lpwstr>
  </property>
</Properties>
</file>