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Difficulty (SEQ):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The average ease-of-use score was </w:t>
      </w:r>
      <w:r w:rsidDel="00000000" w:rsidR="00000000" w:rsidRPr="00000000">
        <w:rPr>
          <w:b w:val="1"/>
          <w:bCs w:val="1"/>
          <w:rtl w:val="0"/>
        </w:rPr>
        <w:t xml:space="preserve">6.36</w:t>
      </w:r>
      <w:r w:rsidDel="00000000" w:rsidR="00000000" w:rsidRPr="00000000">
        <w:rPr>
          <w:rtl w:val="0"/>
        </w:rPr>
        <w:t xml:space="preserve"> out of 7. Task 7 (Cancel function) was perceived as the most difficult due to the broken return navigation, while Tasks 3, 5, and 8 were the easiest, completing in under 5 seconds with zero errors.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Usability (SUS):</w:t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t xml:space="preserve">The System Usability Scale score was </w:t>
      </w:r>
      <w:r w:rsidDel="00000000" w:rsidR="00000000" w:rsidRPr="00000000">
        <w:rPr>
          <w:b w:val="1"/>
          <w:bCs w:val="1"/>
          <w:rtl w:val="0"/>
        </w:rPr>
        <w:t xml:space="preserve">90</w:t>
      </w:r>
      <w:r w:rsidDel="00000000" w:rsidR="00000000" w:rsidRPr="00000000">
        <w:rPr>
          <w:rtl w:val="0"/>
        </w:rPr>
        <w:t xml:space="preserve"> out of 100, which qualifies as an "</w:t>
      </w:r>
      <w:r w:rsidDel="00000000" w:rsidR="00000000" w:rsidRPr="00000000">
        <w:rPr>
          <w:b w:val="1"/>
          <w:bCs w:val="1"/>
          <w:rtl w:val="0"/>
        </w:rPr>
        <w:t xml:space="preserve">Excellent</w:t>
      </w:r>
      <w:r w:rsidDel="00000000" w:rsidR="00000000" w:rsidRPr="00000000">
        <w:rPr>
          <w:rtl w:val="0"/>
        </w:rPr>
        <w:t xml:space="preserve">". Scores above 80 indicate excellent usability, around 68 is average, and below 50 suggests poor usability requiring improvement.​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Reflection: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The most interesting insight from this workshop was observing how a single broken interaction can disproportionately affect the user experience, even in a system with an "Excellent" SUS score of 90. While 7 out of 8 tasks worked perfectly, the broken Cancel button in Task 7 forced a deviation from the expected flow. It highlighted that high-level metrics like SUS can sometimes mask specific critical bugs. A score of 90 implies a nearly perfect system, yet the qualitative data revealed a functional error that could frustrate real users. This reinforces that quantitative scores (SUS/SEQ) must always be paired with qualitative observations to get the full picture of a product's 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