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011" w:rsidRPr="001A0011" w:rsidRDefault="001A0011" w:rsidP="00EA37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1A0011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MISRA-C:2012 </w:t>
      </w:r>
      <w:r w:rsidR="004D7073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im Vergleich zum Kodierungsstandard MISRA-C:2004</w:t>
      </w:r>
    </w:p>
    <w:p w:rsidR="001E7CAE" w:rsidRDefault="001E7CAE" w:rsidP="00EA37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1E7CAE" w:rsidRDefault="001E7CAE" w:rsidP="00EA37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1E7CAE" w:rsidRDefault="003B0FD5" w:rsidP="00EA37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Über mehrere Jahre wurde MISRA C:2004 als Kodierungsstandar</w:t>
      </w:r>
      <w:r w:rsidR="00535F1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verwendet</w:t>
      </w:r>
      <w:sdt>
        <w:sdtPr>
          <w:rPr>
            <w:rFonts w:ascii="Times New Roman" w:hAnsi="Times New Roman" w:cs="Times New Roman"/>
            <w:sz w:val="24"/>
            <w:szCs w:val="24"/>
          </w:rPr>
          <w:id w:val="-1279714433"/>
          <w:citation/>
        </w:sdtPr>
        <w:sdtEndPr/>
        <w:sdtContent>
          <w:r w:rsidR="0089037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9037B">
            <w:rPr>
              <w:rFonts w:ascii="Times New Roman" w:hAnsi="Times New Roman" w:cs="Times New Roman"/>
              <w:sz w:val="24"/>
              <w:szCs w:val="24"/>
            </w:rPr>
            <w:instrText xml:space="preserve">CITATION Bur \l 1031 </w:instrText>
          </w:r>
          <w:r w:rsidR="0089037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D643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D643F" w:rsidRPr="002D643F">
            <w:rPr>
              <w:rFonts w:ascii="Times New Roman" w:hAnsi="Times New Roman" w:cs="Times New Roman"/>
              <w:noProof/>
              <w:sz w:val="24"/>
              <w:szCs w:val="24"/>
            </w:rPr>
            <w:t>(Burden, 2013)</w:t>
          </w:r>
          <w:r w:rsidR="0089037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 Dabei sind zahlreiche Rückmeldungen von Anwendern entstanden, die Verbesserungen und Ergänzungen</w:t>
      </w:r>
      <w:r w:rsidR="002D643F">
        <w:rPr>
          <w:rFonts w:ascii="Times New Roman" w:hAnsi="Times New Roman" w:cs="Times New Roman"/>
          <w:sz w:val="24"/>
          <w:szCs w:val="24"/>
        </w:rPr>
        <w:t xml:space="preserve"> vorgeschlagen haben</w:t>
      </w:r>
      <w:r>
        <w:rPr>
          <w:rFonts w:ascii="Times New Roman" w:hAnsi="Times New Roman" w:cs="Times New Roman"/>
          <w:sz w:val="24"/>
          <w:szCs w:val="24"/>
        </w:rPr>
        <w:t xml:space="preserve">. Es ist </w:t>
      </w:r>
      <w:r w:rsidR="00E31076">
        <w:rPr>
          <w:rFonts w:ascii="Times New Roman" w:hAnsi="Times New Roman" w:cs="Times New Roman"/>
          <w:sz w:val="24"/>
          <w:szCs w:val="24"/>
        </w:rPr>
        <w:t xml:space="preserve">dementsprechend </w:t>
      </w:r>
      <w:r>
        <w:rPr>
          <w:rFonts w:ascii="Times New Roman" w:hAnsi="Times New Roman" w:cs="Times New Roman"/>
          <w:sz w:val="24"/>
          <w:szCs w:val="24"/>
        </w:rPr>
        <w:t>sinnvoll gewesen, eine neue Version des Kodierungsstandards MISRA C einzuführen.</w:t>
      </w:r>
      <w:r w:rsidR="001E7CA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44F" w:rsidRDefault="00CC744F" w:rsidP="00EA37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MISRA C: 2012 wurde </w:t>
      </w:r>
      <w:r w:rsidR="00E31076">
        <w:rPr>
          <w:rFonts w:ascii="Times New Roman" w:hAnsi="Times New Roman" w:cs="Times New Roman"/>
          <w:sz w:val="24"/>
          <w:szCs w:val="24"/>
        </w:rPr>
        <w:t xml:space="preserve">hiernach </w:t>
      </w:r>
      <w:r>
        <w:rPr>
          <w:rFonts w:ascii="Times New Roman" w:hAnsi="Times New Roman" w:cs="Times New Roman"/>
          <w:sz w:val="24"/>
          <w:szCs w:val="24"/>
        </w:rPr>
        <w:t xml:space="preserve">mit dem Ziel veröffentlicht, </w:t>
      </w:r>
      <w:r w:rsidR="003B0FD5">
        <w:rPr>
          <w:rFonts w:ascii="Times New Roman" w:hAnsi="Times New Roman" w:cs="Times New Roman"/>
          <w:sz w:val="24"/>
          <w:szCs w:val="24"/>
        </w:rPr>
        <w:t xml:space="preserve">die genannten Verbesserungen in Betracht zu ziehen. </w:t>
      </w:r>
      <w:r w:rsidR="002D643F">
        <w:rPr>
          <w:rFonts w:ascii="Times New Roman" w:hAnsi="Times New Roman" w:cs="Times New Roman"/>
          <w:sz w:val="24"/>
          <w:szCs w:val="24"/>
        </w:rPr>
        <w:t xml:space="preserve">Dabei war es notwendig, </w:t>
      </w:r>
      <w:r>
        <w:rPr>
          <w:rFonts w:ascii="Times New Roman" w:hAnsi="Times New Roman" w:cs="Times New Roman"/>
          <w:sz w:val="24"/>
          <w:szCs w:val="24"/>
        </w:rPr>
        <w:t>MISRA C:2004 so an</w:t>
      </w:r>
      <w:r w:rsidR="002D643F">
        <w:rPr>
          <w:rFonts w:ascii="Times New Roman" w:hAnsi="Times New Roman" w:cs="Times New Roman"/>
          <w:sz w:val="24"/>
          <w:szCs w:val="24"/>
        </w:rPr>
        <w:t>zu</w:t>
      </w:r>
      <w:r>
        <w:rPr>
          <w:rFonts w:ascii="Times New Roman" w:hAnsi="Times New Roman" w:cs="Times New Roman"/>
          <w:sz w:val="24"/>
          <w:szCs w:val="24"/>
        </w:rPr>
        <w:t>pass</w:t>
      </w:r>
      <w:r w:rsidR="002D643F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, dass </w:t>
      </w:r>
      <w:r w:rsidR="002D643F">
        <w:rPr>
          <w:rFonts w:ascii="Times New Roman" w:hAnsi="Times New Roman" w:cs="Times New Roman"/>
          <w:sz w:val="24"/>
          <w:szCs w:val="24"/>
        </w:rPr>
        <w:t xml:space="preserve">beispielsweise </w:t>
      </w:r>
      <w:r>
        <w:rPr>
          <w:rFonts w:ascii="Times New Roman" w:hAnsi="Times New Roman" w:cs="Times New Roman"/>
          <w:sz w:val="24"/>
          <w:szCs w:val="24"/>
        </w:rPr>
        <w:t xml:space="preserve">der Standard </w:t>
      </w:r>
      <w:r w:rsidR="00535F18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C99</w:t>
      </w:r>
      <w:r w:rsidR="00535F18">
        <w:rPr>
          <w:rFonts w:ascii="Times New Roman" w:hAnsi="Times New Roman" w:cs="Times New Roman"/>
          <w:sz w:val="24"/>
          <w:szCs w:val="24"/>
        </w:rPr>
        <w:t>“</w:t>
      </w:r>
      <w:r w:rsidR="003B0FD5">
        <w:rPr>
          <w:rFonts w:ascii="Times New Roman" w:hAnsi="Times New Roman" w:cs="Times New Roman"/>
          <w:sz w:val="24"/>
          <w:szCs w:val="24"/>
        </w:rPr>
        <w:t xml:space="preserve"> unterstützt wird.</w:t>
      </w:r>
      <w:r>
        <w:rPr>
          <w:rFonts w:ascii="Times New Roman" w:hAnsi="Times New Roman" w:cs="Times New Roman"/>
          <w:sz w:val="24"/>
          <w:szCs w:val="24"/>
        </w:rPr>
        <w:t xml:space="preserve"> Die Regeln werden</w:t>
      </w:r>
      <w:r w:rsidR="002D643F">
        <w:rPr>
          <w:rFonts w:ascii="Times New Roman" w:hAnsi="Times New Roman" w:cs="Times New Roman"/>
          <w:sz w:val="24"/>
          <w:szCs w:val="24"/>
        </w:rPr>
        <w:t xml:space="preserve"> u.a.</w:t>
      </w:r>
      <w:r>
        <w:rPr>
          <w:rFonts w:ascii="Times New Roman" w:hAnsi="Times New Roman" w:cs="Times New Roman"/>
          <w:sz w:val="24"/>
          <w:szCs w:val="24"/>
        </w:rPr>
        <w:t xml:space="preserve"> bei der neuen MISRA-Version klarer definiert, beschrieben und begründet. </w:t>
      </w:r>
    </w:p>
    <w:p w:rsidR="00CC744F" w:rsidRDefault="00CC744F" w:rsidP="00EA37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wesentlichen Unterschiede der MISRA C: 2012-Version zu der alten </w:t>
      </w:r>
      <w:r w:rsidR="00535F18">
        <w:rPr>
          <w:rFonts w:ascii="Times New Roman" w:hAnsi="Times New Roman" w:cs="Times New Roman"/>
          <w:sz w:val="24"/>
          <w:szCs w:val="24"/>
        </w:rPr>
        <w:t>lassen sich durch folgende Abbildung veranschaulichen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35F18" w:rsidRDefault="00535F18" w:rsidP="00535F1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524C62A" wp14:editId="4ED3363D">
            <wp:extent cx="5505450" cy="4315083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235" t="22487" r="36174" b="39153"/>
                    <a:stretch/>
                  </pic:blipFill>
                  <pic:spPr bwMode="auto">
                    <a:xfrm>
                      <a:off x="0" y="0"/>
                      <a:ext cx="5505685" cy="431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44F" w:rsidRPr="00812823" w:rsidRDefault="00535F18" w:rsidP="00535F18">
      <w:pPr>
        <w:pStyle w:val="Beschriftung"/>
        <w:jc w:val="center"/>
        <w:rPr>
          <w:color w:val="auto"/>
        </w:rPr>
      </w:pPr>
      <w:r w:rsidRPr="00535F18">
        <w:rPr>
          <w:color w:val="auto"/>
        </w:rPr>
        <w:t xml:space="preserve">Abbildung </w:t>
      </w:r>
      <w:r w:rsidRPr="00535F18">
        <w:rPr>
          <w:color w:val="auto"/>
        </w:rPr>
        <w:fldChar w:fldCharType="begin"/>
      </w:r>
      <w:r w:rsidRPr="00535F18">
        <w:rPr>
          <w:color w:val="auto"/>
        </w:rPr>
        <w:instrText xml:space="preserve"> SEQ Abbildung \* ARABIC </w:instrText>
      </w:r>
      <w:r w:rsidRPr="00535F18">
        <w:rPr>
          <w:color w:val="auto"/>
        </w:rPr>
        <w:fldChar w:fldCharType="separate"/>
      </w:r>
      <w:r w:rsidRPr="00535F18">
        <w:rPr>
          <w:noProof/>
          <w:color w:val="auto"/>
        </w:rPr>
        <w:t>1</w:t>
      </w:r>
      <w:r w:rsidRPr="00535F18">
        <w:rPr>
          <w:color w:val="auto"/>
        </w:rPr>
        <w:fldChar w:fldCharType="end"/>
      </w:r>
      <w:r>
        <w:rPr>
          <w:color w:val="auto"/>
        </w:rPr>
        <w:t xml:space="preserve"> Vergleich von Kodierungsstandard MISRA C:2004 zu MISRA C:2012</w:t>
      </w:r>
      <w:r w:rsidR="00812823" w:rsidRPr="00812823">
        <w:rPr>
          <w:color w:val="auto"/>
        </w:rPr>
        <w:t xml:space="preserve">. Quelle: </w:t>
      </w:r>
      <w:sdt>
        <w:sdtPr>
          <w:rPr>
            <w:color w:val="auto"/>
          </w:rPr>
          <w:id w:val="592212756"/>
          <w:citation/>
        </w:sdtPr>
        <w:sdtEndPr/>
        <w:sdtContent>
          <w:r w:rsidR="002D643F">
            <w:rPr>
              <w:color w:val="auto"/>
            </w:rPr>
            <w:fldChar w:fldCharType="begin"/>
          </w:r>
          <w:r w:rsidR="002D643F">
            <w:rPr>
              <w:color w:val="auto"/>
            </w:rPr>
            <w:instrText xml:space="preserve"> CITATION Bur \l 1031 </w:instrText>
          </w:r>
          <w:r w:rsidR="002D643F">
            <w:rPr>
              <w:color w:val="auto"/>
            </w:rPr>
            <w:fldChar w:fldCharType="separate"/>
          </w:r>
          <w:r w:rsidR="002D643F" w:rsidRPr="002D643F">
            <w:rPr>
              <w:noProof/>
              <w:color w:val="auto"/>
            </w:rPr>
            <w:t>(Burden, 2013)</w:t>
          </w:r>
          <w:r w:rsidR="002D643F">
            <w:rPr>
              <w:color w:val="auto"/>
            </w:rPr>
            <w:fldChar w:fldCharType="end"/>
          </w:r>
        </w:sdtContent>
      </w:sdt>
    </w:p>
    <w:p w:rsidR="00535F18" w:rsidRDefault="00535F18" w:rsidP="00535F18"/>
    <w:p w:rsidR="00535F18" w:rsidRDefault="00535F18" w:rsidP="00535F18"/>
    <w:p w:rsidR="002D643F" w:rsidRDefault="002D643F" w:rsidP="00535F18"/>
    <w:p w:rsidR="002D643F" w:rsidRDefault="002D643F" w:rsidP="002D64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Die Regel</w:t>
      </w:r>
      <w:r w:rsidR="006114C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bestehen jetzt aus vier wesentlichen Erweiterungen</w:t>
      </w:r>
      <w:r w:rsidRPr="002D643F">
        <w:t xml:space="preserve"> </w:t>
      </w:r>
      <w:sdt>
        <w:sdtPr>
          <w:id w:val="-405452493"/>
          <w:citation/>
        </w:sdtPr>
        <w:sdtEndPr/>
        <w:sdtContent>
          <w:r>
            <w:fldChar w:fldCharType="begin"/>
          </w:r>
          <w:r>
            <w:instrText xml:space="preserve"> CITATION Bur \l 1031 </w:instrText>
          </w:r>
          <w:r>
            <w:fldChar w:fldCharType="separate"/>
          </w:r>
          <w:r w:rsidRPr="002D643F">
            <w:rPr>
              <w:noProof/>
            </w:rPr>
            <w:t>(Burden, 2013)</w:t>
          </w:r>
          <w: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:</w:t>
      </w:r>
    </w:p>
    <w:p w:rsidR="002D643F" w:rsidRDefault="004D7073" w:rsidP="004D7073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073">
        <w:rPr>
          <w:rFonts w:ascii="Times New Roman" w:hAnsi="Times New Roman" w:cs="Times New Roman"/>
          <w:sz w:val="24"/>
          <w:szCs w:val="24"/>
        </w:rPr>
        <w:t>Amplification</w:t>
      </w:r>
      <w:proofErr w:type="spellEnd"/>
      <w:r w:rsidRPr="004D707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Erweiterte Erläuterungen</w:t>
      </w:r>
      <w:r w:rsidR="00E31076">
        <w:rPr>
          <w:rFonts w:ascii="Times New Roman" w:hAnsi="Times New Roman" w:cs="Times New Roman"/>
          <w:sz w:val="24"/>
          <w:szCs w:val="24"/>
        </w:rPr>
        <w:t xml:space="preserve"> der Regel</w:t>
      </w:r>
      <w:bookmarkStart w:id="0" w:name="_GoBack"/>
      <w:bookmarkEnd w:id="0"/>
    </w:p>
    <w:p w:rsidR="004D7073" w:rsidRDefault="004D7073" w:rsidP="004D7073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Rationale: Begründung der Notwendigkeit der </w:t>
      </w:r>
      <w:r w:rsidR="00E31076">
        <w:rPr>
          <w:rFonts w:ascii="Times New Roman" w:hAnsi="Times New Roman" w:cs="Times New Roman"/>
          <w:sz w:val="24"/>
          <w:szCs w:val="24"/>
        </w:rPr>
        <w:t>Anforderungen</w:t>
      </w:r>
    </w:p>
    <w:p w:rsidR="004D7073" w:rsidRDefault="004D7073" w:rsidP="004D7073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>
        <w:rPr>
          <w:rFonts w:ascii="Times New Roman" w:hAnsi="Times New Roman" w:cs="Times New Roman"/>
          <w:sz w:val="24"/>
          <w:szCs w:val="24"/>
        </w:rPr>
        <w:t>: Ausnahmen, für die die Anforderungen einer Regel nicht gelten</w:t>
      </w:r>
    </w:p>
    <w:p w:rsidR="004D7073" w:rsidRPr="004D7073" w:rsidRDefault="004D7073" w:rsidP="004D7073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Examples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Beispiele für die Einhaltung der Regel </w:t>
      </w:r>
    </w:p>
    <w:p w:rsidR="00535F18" w:rsidRDefault="00535F18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>
      <w:pPr>
        <w:rPr>
          <w:rFonts w:ascii="Times New Roman" w:hAnsi="Times New Roman" w:cs="Times New Roman"/>
          <w:sz w:val="24"/>
          <w:szCs w:val="24"/>
        </w:rPr>
      </w:pPr>
    </w:p>
    <w:p w:rsidR="004D7073" w:rsidRDefault="004D7073" w:rsidP="00535F18"/>
    <w:p w:rsidR="00535F18" w:rsidRDefault="00535F18" w:rsidP="00535F1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89897831"/>
        <w:docPartObj>
          <w:docPartGallery w:val="Bibliographies"/>
          <w:docPartUnique/>
        </w:docPartObj>
      </w:sdtPr>
      <w:sdtEndPr/>
      <w:sdtContent>
        <w:p w:rsidR="00812823" w:rsidRDefault="00812823">
          <w:pPr>
            <w:pStyle w:val="berschrift1"/>
          </w:pPr>
          <w:r>
            <w:t>Literaturverzeichnis</w:t>
          </w:r>
        </w:p>
        <w:sdt>
          <w:sdtPr>
            <w:id w:val="111145805"/>
            <w:bibliography/>
          </w:sdtPr>
          <w:sdtEndPr/>
          <w:sdtContent>
            <w:p w:rsidR="002D643F" w:rsidRDefault="00812823" w:rsidP="002D643F">
              <w:pPr>
                <w:pStyle w:val="Literaturverzeichnis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D643F">
                <w:rPr>
                  <w:noProof/>
                </w:rPr>
                <w:t xml:space="preserve">Burden, P. (2013). </w:t>
              </w:r>
              <w:r w:rsidR="002D643F">
                <w:rPr>
                  <w:i/>
                  <w:iCs/>
                  <w:noProof/>
                </w:rPr>
                <w:t>Warum ein neues MISRA C</w:t>
              </w:r>
              <w:r w:rsidR="002D643F">
                <w:rPr>
                  <w:noProof/>
                </w:rPr>
                <w:t>. Von PRQA: http://www.programmingresearch.com/ abgerufen</w:t>
              </w:r>
            </w:p>
            <w:p w:rsidR="00812823" w:rsidRDefault="00812823" w:rsidP="002D643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812823" w:rsidRDefault="00812823"/>
    <w:p w:rsidR="00812823" w:rsidRDefault="00812823"/>
    <w:p w:rsidR="00535F18" w:rsidRDefault="00535F18" w:rsidP="00535F18"/>
    <w:p w:rsidR="00535F18" w:rsidRPr="00535F18" w:rsidRDefault="00535F18" w:rsidP="00535F18"/>
    <w:sectPr w:rsidR="00535F18" w:rsidRPr="00535F1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CA3" w:rsidRDefault="00717CA3" w:rsidP="00276002">
      <w:pPr>
        <w:spacing w:after="0" w:line="240" w:lineRule="auto"/>
      </w:pPr>
      <w:r>
        <w:separator/>
      </w:r>
    </w:p>
  </w:endnote>
  <w:endnote w:type="continuationSeparator" w:id="0">
    <w:p w:rsidR="00717CA3" w:rsidRDefault="00717CA3" w:rsidP="0027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CA3" w:rsidRDefault="00717CA3" w:rsidP="00276002">
      <w:pPr>
        <w:spacing w:after="0" w:line="240" w:lineRule="auto"/>
      </w:pPr>
      <w:r>
        <w:separator/>
      </w:r>
    </w:p>
  </w:footnote>
  <w:footnote w:type="continuationSeparator" w:id="0">
    <w:p w:rsidR="00717CA3" w:rsidRDefault="00717CA3" w:rsidP="0027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002" w:rsidRDefault="0027600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1B2CEF"/>
    <w:multiLevelType w:val="multilevel"/>
    <w:tmpl w:val="2A9C0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B5095C"/>
    <w:multiLevelType w:val="hybridMultilevel"/>
    <w:tmpl w:val="76CE5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011"/>
    <w:rsid w:val="000B518E"/>
    <w:rsid w:val="001A0011"/>
    <w:rsid w:val="001E7CAE"/>
    <w:rsid w:val="00276002"/>
    <w:rsid w:val="002D643F"/>
    <w:rsid w:val="003B0FD5"/>
    <w:rsid w:val="004D7073"/>
    <w:rsid w:val="00535F18"/>
    <w:rsid w:val="006114C9"/>
    <w:rsid w:val="00717CA3"/>
    <w:rsid w:val="00812823"/>
    <w:rsid w:val="0089037B"/>
    <w:rsid w:val="00C71413"/>
    <w:rsid w:val="00CC744F"/>
    <w:rsid w:val="00E31076"/>
    <w:rsid w:val="00EA3763"/>
    <w:rsid w:val="00FD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128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76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6002"/>
  </w:style>
  <w:style w:type="paragraph" w:styleId="Fuzeile">
    <w:name w:val="footer"/>
    <w:basedOn w:val="Standard"/>
    <w:link w:val="FuzeileZchn"/>
    <w:uiPriority w:val="99"/>
    <w:unhideWhenUsed/>
    <w:rsid w:val="00276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6002"/>
  </w:style>
  <w:style w:type="paragraph" w:styleId="StandardWeb">
    <w:name w:val="Normal (Web)"/>
    <w:basedOn w:val="Standard"/>
    <w:uiPriority w:val="99"/>
    <w:semiHidden/>
    <w:unhideWhenUsed/>
    <w:rsid w:val="001A0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35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35F18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535F1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128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89037B"/>
  </w:style>
  <w:style w:type="paragraph" w:styleId="Listenabsatz">
    <w:name w:val="List Paragraph"/>
    <w:basedOn w:val="Standard"/>
    <w:uiPriority w:val="34"/>
    <w:qFormat/>
    <w:rsid w:val="004D707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128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76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6002"/>
  </w:style>
  <w:style w:type="paragraph" w:styleId="Fuzeile">
    <w:name w:val="footer"/>
    <w:basedOn w:val="Standard"/>
    <w:link w:val="FuzeileZchn"/>
    <w:uiPriority w:val="99"/>
    <w:unhideWhenUsed/>
    <w:rsid w:val="00276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6002"/>
  </w:style>
  <w:style w:type="paragraph" w:styleId="StandardWeb">
    <w:name w:val="Normal (Web)"/>
    <w:basedOn w:val="Standard"/>
    <w:uiPriority w:val="99"/>
    <w:semiHidden/>
    <w:unhideWhenUsed/>
    <w:rsid w:val="001A0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35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35F18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535F1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128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89037B"/>
  </w:style>
  <w:style w:type="paragraph" w:styleId="Listenabsatz">
    <w:name w:val="List Paragraph"/>
    <w:basedOn w:val="Standard"/>
    <w:uiPriority w:val="34"/>
    <w:qFormat/>
    <w:rsid w:val="004D7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4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Bur</b:Tag>
    <b:SourceType>InternetSite</b:SourceType>
    <b:Guid>{6F328F00-35FE-4268-BE8C-9E5D10276ACB}</b:Guid>
    <b:Title>Warum ein neues  MISRA C</b:Title>
    <b:Author>
      <b:Author>
        <b:NameList>
          <b:Person>
            <b:Last>Burden</b:Last>
            <b:First>Paul</b:First>
          </b:Person>
        </b:NameList>
      </b:Author>
    </b:Author>
    <b:InternetSiteTitle>PRQA</b:InternetSiteTitle>
    <b:URL>http://www.programmingresearch.com/</b:URL>
    <b:Year>2013</b:Year>
    <b:RefOrder>1</b:RefOrder>
  </b:Source>
</b:Sources>
</file>

<file path=customXml/itemProps1.xml><?xml version="1.0" encoding="utf-8"?>
<ds:datastoreItem xmlns:ds="http://schemas.openxmlformats.org/officeDocument/2006/customXml" ds:itemID="{A38B225E-BE71-4239-A159-3FEDEC744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Vector Informatik GmbH</Company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Revelo Cordoba, Samir Alexis</dc:creator>
  <cp:lastModifiedBy>Revelo Cordoba, Samir Alexis</cp:lastModifiedBy>
  <cp:revision>2</cp:revision>
  <dcterms:created xsi:type="dcterms:W3CDTF">2016-04-04T08:50:00Z</dcterms:created>
  <dcterms:modified xsi:type="dcterms:W3CDTF">2016-04-05T15:02:00Z</dcterms:modified>
</cp:coreProperties>
</file>