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87cb8ed4789add767a461563361b7f06df41d3"/>
    <w:p>
      <w:pPr>
        <w:pStyle w:val="Heading1"/>
      </w:pPr>
      <w:r>
        <w:t xml:space="preserve">Relatório — Sistema Multi Agente Investidor Financeiro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Analisar oportunidades de investimento no par cambial EUR/USD para tentar obter aproximadamente 500 € de lucro ao longo de 30 dias.</w:t>
      </w:r>
    </w:p>
    <w:p>
      <w:r>
        <w:pict>
          <v:rect style="width:0;height:1.5pt" o:hralign="center" o:hrstd="t" o:hr="t"/>
        </w:pict>
      </w:r>
    </w:p>
    <w:bookmarkEnd w:id="20"/>
    <w:bookmarkStart w:id="21" w:name="agente-1-registo-inicial"/>
    <w:p>
      <w:pPr>
        <w:pStyle w:val="Heading2"/>
      </w:pPr>
      <w:r>
        <w:t xml:space="preserve">Agente 1 — Registo Inicial</w:t>
      </w:r>
    </w:p>
    <w:p>
      <w:pPr>
        <w:pStyle w:val="Compact"/>
        <w:numPr>
          <w:ilvl w:val="0"/>
          <w:numId w:val="1001"/>
        </w:numPr>
      </w:pPr>
      <w:r>
        <w:t xml:space="preserve">Hora inicial estimada de execução: 21/05/2026 10:30 UTC.</w:t>
      </w:r>
    </w:p>
    <w:p>
      <w:r>
        <w:pict>
          <v:rect style="width:0;height:1.5pt" o:hralign="center" o:hrstd="t" o:hr="t"/>
        </w:pict>
      </w:r>
    </w:p>
    <w:bookmarkEnd w:id="21"/>
    <w:bookmarkStart w:id="22" w:name="agente-2-confirmador"/>
    <w:p>
      <w:pPr>
        <w:pStyle w:val="Heading2"/>
      </w:pPr>
      <w:r>
        <w:t xml:space="preserve">Agente 2 — Confirmador</w:t>
      </w:r>
    </w:p>
    <w:p>
      <w:pPr>
        <w:pStyle w:val="Compact"/>
        <w:numPr>
          <w:ilvl w:val="0"/>
          <w:numId w:val="1002"/>
        </w:numPr>
      </w:pPr>
      <w:r>
        <w:t xml:space="preserve">Caso o investidor pretenda alterar o ativo principal (EUR/USD) para outra moeda ou ações, deve confirmar explicitamente antes da execução de nova análise.</w:t>
      </w:r>
    </w:p>
    <w:p>
      <w:r>
        <w:pict>
          <v:rect style="width:0;height:1.5pt" o:hralign="center" o:hrstd="t" o:hr="t"/>
        </w:pict>
      </w:r>
    </w:p>
    <w:bookmarkEnd w:id="22"/>
    <w:bookmarkStart w:id="26" w:name="agente-3-análise-eurusd-do-último-mês"/>
    <w:p>
      <w:pPr>
        <w:pStyle w:val="Heading2"/>
      </w:pPr>
      <w:r>
        <w:t xml:space="preserve">Agente 3 — Análise EUR/USD do Último Mês</w:t>
      </w:r>
    </w:p>
    <w:bookmarkStart w:id="23" w:name="dados-recentes-identificados"/>
    <w:p>
      <w:pPr>
        <w:pStyle w:val="Heading3"/>
      </w:pPr>
      <w:r>
        <w:t xml:space="preserve">Dados recentes identificados</w:t>
      </w:r>
    </w:p>
    <w:p>
      <w:pPr>
        <w:pStyle w:val="FirstParagraph"/>
      </w:pPr>
      <w:r>
        <w:t xml:space="preserve">O EUR/USD apresentou oscilações recentes entre aproximadamente 1.1690 e 1.1790 USD por EUR.</w:t>
      </w:r>
    </w:p>
    <w:bookmarkEnd w:id="23"/>
    <w:bookmarkStart w:id="24" w:name="tendências-identificadas"/>
    <w:p>
      <w:pPr>
        <w:pStyle w:val="Heading3"/>
      </w:pPr>
      <w:r>
        <w:t xml:space="preserve">Tendências identificadas</w:t>
      </w:r>
    </w:p>
    <w:p>
      <w:pPr>
        <w:pStyle w:val="Compact"/>
        <w:numPr>
          <w:ilvl w:val="0"/>
          <w:numId w:val="1003"/>
        </w:numPr>
      </w:pPr>
      <w:r>
        <w:t xml:space="preserve">O dólar norte‑americano apresentou fortalecimento recente.</w:t>
      </w:r>
    </w:p>
    <w:p>
      <w:pPr>
        <w:pStyle w:val="Compact"/>
        <w:numPr>
          <w:ilvl w:val="0"/>
          <w:numId w:val="1003"/>
        </w:numPr>
      </w:pPr>
      <w:r>
        <w:t xml:space="preserve">As yields dos EUA e expectativas de inflação aumentaram a procura por USD.</w:t>
      </w:r>
    </w:p>
    <w:p>
      <w:pPr>
        <w:pStyle w:val="Compact"/>
        <w:numPr>
          <w:ilvl w:val="0"/>
          <w:numId w:val="1003"/>
        </w:numPr>
      </w:pPr>
      <w:r>
        <w:t xml:space="preserve">O euro manteve volatilidade moderada.</w:t>
      </w:r>
    </w:p>
    <w:bookmarkEnd w:id="24"/>
    <w:bookmarkStart w:id="25" w:name="conclusão"/>
    <w:p>
      <w:pPr>
        <w:pStyle w:val="Heading3"/>
      </w:pPr>
      <w:r>
        <w:t xml:space="preserve">Conclusão</w:t>
      </w:r>
    </w:p>
    <w:p>
      <w:pPr>
        <w:pStyle w:val="FirstParagraph"/>
      </w:pPr>
      <w:r>
        <w:t xml:space="preserve">O mercado apresentou várias oportunidades de curto prazo para operações de compra e venda.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gente-4-custos-impostos-e-comissões"/>
    <w:p>
      <w:pPr>
        <w:pStyle w:val="Heading2"/>
      </w:pPr>
      <w:r>
        <w:t xml:space="preserve">Agente 4 — Custos, Impostos e Comissões</w:t>
      </w:r>
    </w:p>
    <w:bookmarkStart w:id="27" w:name="custos-identificados-no-banco-montepio"/>
    <w:p>
      <w:pPr>
        <w:pStyle w:val="Heading3"/>
      </w:pPr>
      <w:r>
        <w:t xml:space="preserve">Custos identificados no Banco Montepio</w:t>
      </w:r>
    </w:p>
    <w:p>
      <w:pPr>
        <w:pStyle w:val="Compact"/>
        <w:numPr>
          <w:ilvl w:val="0"/>
          <w:numId w:val="1004"/>
        </w:numPr>
      </w:pPr>
      <w:r>
        <w:t xml:space="preserve">Comissão de manutenção de conta.</w:t>
      </w:r>
    </w:p>
    <w:p>
      <w:pPr>
        <w:pStyle w:val="Compact"/>
        <w:numPr>
          <w:ilvl w:val="0"/>
          <w:numId w:val="1004"/>
        </w:numPr>
      </w:pPr>
      <w:r>
        <w:t xml:space="preserve">Spread cambial EUR/USD.</w:t>
      </w:r>
    </w:p>
    <w:p>
      <w:pPr>
        <w:pStyle w:val="Compact"/>
        <w:numPr>
          <w:ilvl w:val="0"/>
          <w:numId w:val="1004"/>
        </w:numPr>
      </w:pPr>
      <w:r>
        <w:t xml:space="preserve">Custos de transferência internacional.</w:t>
      </w:r>
    </w:p>
    <w:p>
      <w:pPr>
        <w:pStyle w:val="Compact"/>
        <w:numPr>
          <w:ilvl w:val="0"/>
          <w:numId w:val="1004"/>
        </w:numPr>
      </w:pPr>
      <w:r>
        <w:t xml:space="preserve">Eventuais encargos adicionais em operações internacionais.</w:t>
      </w:r>
    </w:p>
    <w:p>
      <w:pPr>
        <w:pStyle w:val="Compact"/>
        <w:numPr>
          <w:ilvl w:val="0"/>
          <w:numId w:val="1004"/>
        </w:numPr>
      </w:pPr>
      <w:r>
        <w:t xml:space="preserve">Imposto do selo aplicável a determinadas operações.</w:t>
      </w:r>
    </w:p>
    <w:bookmarkEnd w:id="27"/>
    <w:bookmarkStart w:id="28" w:name="observações"/>
    <w:p>
      <w:pPr>
        <w:pStyle w:val="Heading3"/>
      </w:pPr>
      <w:r>
        <w:t xml:space="preserve">Observações</w:t>
      </w:r>
    </w:p>
    <w:p>
      <w:pPr>
        <w:pStyle w:val="FirstParagraph"/>
      </w:pPr>
      <w:r>
        <w:t xml:space="preserve">Os spreads cambiais podem reduzir significativamente o lucro líquido de operações pequenas.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260583658680cba00f2ed706945b7be2c748b8c"/>
    <w:p>
      <w:pPr>
        <w:pStyle w:val="Heading2"/>
      </w:pPr>
      <w:r>
        <w:t xml:space="preserve">Agente 5 — Sugestão de Transações para 30 Dias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Transação</w:t>
            </w:r>
          </w:p>
        </w:tc>
        <w:tc>
          <w:tcPr/>
          <w:p>
            <w:pPr>
              <w:pStyle w:val="Compac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Lucro Estimado</w:t>
            </w:r>
          </w:p>
        </w:tc>
        <w:tc>
          <w:tcPr/>
          <w:p>
            <w:pPr>
              <w:pStyle w:val="Compact"/>
            </w:pPr>
            <w:r>
              <w:t xml:space="preserve">Explicação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 EUR/USD perto de suporte</w:t>
            </w:r>
          </w:p>
        </w:tc>
        <w:tc>
          <w:tcPr/>
          <w:p>
            <w:pPr>
              <w:pStyle w:val="Compact"/>
            </w:pPr>
            <w:r>
              <w:t xml:space="preserve">5.000 €</w:t>
            </w:r>
          </w:p>
        </w:tc>
        <w:tc>
          <w:tcPr/>
          <w:p>
            <w:pPr>
              <w:pStyle w:val="Compact"/>
            </w:pPr>
            <w:r>
              <w:t xml:space="preserve">120 €</w:t>
            </w:r>
          </w:p>
        </w:tc>
        <w:tc>
          <w:tcPr/>
          <w:p>
            <w:pPr>
              <w:pStyle w:val="Compact"/>
            </w:pPr>
            <w:r>
              <w:t xml:space="preserve">Compra em zona de suporte técnico e venda após recuperação.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 parcial após valorização</w:t>
            </w:r>
          </w:p>
        </w:tc>
        <w:tc>
          <w:tcPr/>
          <w:p>
            <w:pPr>
              <w:pStyle w:val="Compact"/>
            </w:pPr>
            <w:r>
              <w:t xml:space="preserve">4.000 €</w:t>
            </w:r>
          </w:p>
        </w:tc>
        <w:tc>
          <w:tcPr/>
          <w:p>
            <w:pPr>
              <w:pStyle w:val="Compact"/>
            </w:pPr>
            <w:r>
              <w:t xml:space="preserve">90 €</w:t>
            </w:r>
          </w:p>
        </w:tc>
        <w:tc>
          <w:tcPr/>
          <w:p>
            <w:pPr>
              <w:pStyle w:val="Compact"/>
            </w:pPr>
            <w:r>
              <w:t xml:space="preserve">Aproveitar recuperação do EUR face ao USD.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 em correção técnica</w:t>
            </w:r>
          </w:p>
        </w:tc>
        <w:tc>
          <w:tcPr/>
          <w:p>
            <w:pPr>
              <w:pStyle w:val="Compact"/>
            </w:pPr>
            <w:r>
              <w:t xml:space="preserve">6.000 €</w:t>
            </w:r>
          </w:p>
        </w:tc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Entrada após recuo temporário do mercado.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Swing trade semanal</w:t>
            </w:r>
          </w:p>
        </w:tc>
        <w:tc>
          <w:tcPr/>
          <w:p>
            <w:pPr>
              <w:pStyle w:val="Compact"/>
            </w:pPr>
            <w:r>
              <w:t xml:space="preserve">7.000 €</w:t>
            </w:r>
          </w:p>
        </w:tc>
        <w:tc>
          <w:tcPr/>
          <w:p>
            <w:pPr>
              <w:pStyle w:val="Compact"/>
            </w:pPr>
            <w:r>
              <w:t xml:space="preserve">140 €</w:t>
            </w:r>
          </w:p>
        </w:tc>
        <w:tc>
          <w:tcPr/>
          <w:p>
            <w:pPr>
              <w:pStyle w:val="Compact"/>
            </w:pPr>
            <w:r>
              <w:t xml:space="preserve">Explorar volatilidade semanal do par EUR/USD.</w:t>
            </w:r>
          </w:p>
        </w:tc>
      </w:tr>
    </w:tbl>
    <w:bookmarkStart w:id="30" w:name="resultado-esperado"/>
    <w:p>
      <w:pPr>
        <w:pStyle w:val="Heading3"/>
      </w:pPr>
      <w:r>
        <w:t xml:space="preserve">Resultado Esperado</w:t>
      </w:r>
    </w:p>
    <w:p>
      <w:pPr>
        <w:pStyle w:val="Compact"/>
        <w:numPr>
          <w:ilvl w:val="0"/>
          <w:numId w:val="1005"/>
        </w:numPr>
      </w:pPr>
      <w:r>
        <w:t xml:space="preserve">Lucro potencial total estimado: 500 €.</w:t>
      </w:r>
    </w:p>
    <w:p>
      <w:pPr>
        <w:pStyle w:val="Compact"/>
        <w:numPr>
          <w:ilvl w:val="0"/>
          <w:numId w:val="1005"/>
        </w:numPr>
      </w:pPr>
      <w:r>
        <w:t xml:space="preserve">Montante total movimentado: 22.000 €.</w:t>
      </w:r>
    </w:p>
    <w:bookmarkEnd w:id="30"/>
    <w:bookmarkStart w:id="31" w:name="riscos"/>
    <w:p>
      <w:pPr>
        <w:pStyle w:val="Heading3"/>
      </w:pPr>
      <w:r>
        <w:t xml:space="preserve">Riscos</w:t>
      </w:r>
    </w:p>
    <w:p>
      <w:pPr>
        <w:pStyle w:val="Compact"/>
        <w:numPr>
          <w:ilvl w:val="0"/>
          <w:numId w:val="1006"/>
        </w:numPr>
      </w:pPr>
      <w:r>
        <w:t xml:space="preserve">Volatilidade elevada.</w:t>
      </w:r>
    </w:p>
    <w:p>
      <w:pPr>
        <w:pStyle w:val="Compact"/>
        <w:numPr>
          <w:ilvl w:val="0"/>
          <w:numId w:val="1006"/>
        </w:numPr>
      </w:pPr>
      <w:r>
        <w:t xml:space="preserve">Alterações de política monetária.</w:t>
      </w:r>
    </w:p>
    <w:p>
      <w:pPr>
        <w:pStyle w:val="Compact"/>
        <w:numPr>
          <w:ilvl w:val="0"/>
          <w:numId w:val="1006"/>
        </w:numPr>
      </w:pPr>
      <w:r>
        <w:t xml:space="preserve">Custos de câmbio.</w:t>
      </w:r>
    </w:p>
    <w:p>
      <w:pPr>
        <w:pStyle w:val="Compact"/>
        <w:numPr>
          <w:ilvl w:val="0"/>
          <w:numId w:val="1006"/>
        </w:numPr>
      </w:pPr>
      <w:r>
        <w:t xml:space="preserve">Eventos geopolíticos.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gente-9-explicador"/>
    <w:p>
      <w:pPr>
        <w:pStyle w:val="Heading2"/>
      </w:pPr>
      <w:r>
        <w:t xml:space="preserve">Agente 9 — Explicador</w:t>
      </w:r>
    </w:p>
    <w:bookmarkStart w:id="33" w:name="justificação-das-operações"/>
    <w:p>
      <w:pPr>
        <w:pStyle w:val="Heading3"/>
      </w:pPr>
      <w:r>
        <w:t xml:space="preserve">Justificação das operações</w:t>
      </w:r>
    </w:p>
    <w:p>
      <w:pPr>
        <w:pStyle w:val="Compact"/>
        <w:numPr>
          <w:ilvl w:val="0"/>
          <w:numId w:val="1007"/>
        </w:numPr>
      </w:pPr>
      <w:r>
        <w:t xml:space="preserve">O EUR/USD apresenta movimentos frequentes de curto prazo.</w:t>
      </w:r>
    </w:p>
    <w:p>
      <w:pPr>
        <w:pStyle w:val="Compact"/>
        <w:numPr>
          <w:ilvl w:val="0"/>
          <w:numId w:val="1007"/>
        </w:numPr>
      </w:pPr>
      <w:r>
        <w:t xml:space="preserve">Pequenas oscilações podem gerar lucros consistentes em operações disciplinadas.</w:t>
      </w:r>
    </w:p>
    <w:p>
      <w:pPr>
        <w:pStyle w:val="Compact"/>
        <w:numPr>
          <w:ilvl w:val="0"/>
          <w:numId w:val="1007"/>
        </w:numPr>
      </w:pPr>
      <w:r>
        <w:t xml:space="preserve">A gestão do risco é fundamental.</w:t>
      </w:r>
    </w:p>
    <w:p>
      <w:pPr>
        <w:pStyle w:val="Compact"/>
        <w:numPr>
          <w:ilvl w:val="0"/>
          <w:numId w:val="1007"/>
        </w:numPr>
      </w:pPr>
      <w:r>
        <w:t xml:space="preserve">O investidor deve evitar alavancagem excessiva.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gente-10-redator"/>
    <w:p>
      <w:pPr>
        <w:pStyle w:val="Heading2"/>
      </w:pPr>
      <w:r>
        <w:t xml:space="preserve">Agente 10 — Redator</w:t>
      </w:r>
    </w:p>
    <w:bookmarkStart w:id="35" w:name="resumo-executivo"/>
    <w:p>
      <w:pPr>
        <w:pStyle w:val="Heading3"/>
      </w:pPr>
      <w:r>
        <w:t xml:space="preserve">Resumo Executivo</w:t>
      </w:r>
    </w:p>
    <w:p>
      <w:pPr>
        <w:pStyle w:val="FirstParagraph"/>
      </w:pPr>
      <w:r>
        <w:t xml:space="preserve">Com base na informação recolhida, foram identificadas oportunidades de curto prazo no par EUR/USD capazes de gerar um lucro estimado próximo de 500 € em 30 dias.</w:t>
      </w:r>
    </w:p>
    <w:p>
      <w:pPr>
        <w:pStyle w:val="BodyText"/>
      </w:pPr>
      <w:r>
        <w:t xml:space="preserve">As estratégias propostas utilizam:</w:t>
      </w:r>
    </w:p>
    <w:p>
      <w:pPr>
        <w:pStyle w:val="Compact"/>
        <w:numPr>
          <w:ilvl w:val="0"/>
          <w:numId w:val="1008"/>
        </w:numPr>
      </w:pPr>
      <w:r>
        <w:t xml:space="preserve">análise técnica simples;</w:t>
      </w:r>
    </w:p>
    <w:p>
      <w:pPr>
        <w:pStyle w:val="Compact"/>
        <w:numPr>
          <w:ilvl w:val="0"/>
          <w:numId w:val="1008"/>
        </w:numPr>
      </w:pPr>
      <w:r>
        <w:t xml:space="preserve">zonas de suporte e resistência;</w:t>
      </w:r>
    </w:p>
    <w:p>
      <w:pPr>
        <w:pStyle w:val="Compact"/>
        <w:numPr>
          <w:ilvl w:val="0"/>
          <w:numId w:val="1008"/>
        </w:numPr>
      </w:pPr>
      <w:r>
        <w:t xml:space="preserve">gestão conservadora do risco.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gente-11-sustentabilidade-ambiental"/>
    <w:p>
      <w:pPr>
        <w:pStyle w:val="Heading2"/>
      </w:pPr>
      <w:r>
        <w:t xml:space="preserve">Agente 11 — Sustentabilidade Ambiental</w:t>
      </w:r>
    </w:p>
    <w:bookmarkStart w:id="40" w:name="estimativas-ambientais-da-execução"/>
    <w:p>
      <w:pPr>
        <w:pStyle w:val="Heading3"/>
      </w:pPr>
      <w:r>
        <w:t xml:space="preserve">Estimativas ambientais da execução</w:t>
      </w:r>
    </w:p>
    <w:bookmarkStart w:id="37" w:name="s1-totais"/>
    <w:p>
      <w:pPr>
        <w:pStyle w:val="Heading4"/>
      </w:pPr>
      <w:r>
        <w:t xml:space="preserve">S1 — Totais</w:t>
      </w:r>
    </w:p>
    <w:p>
      <w:pPr>
        <w:pStyle w:val="Compact"/>
        <w:numPr>
          <w:ilvl w:val="0"/>
          <w:numId w:val="1009"/>
        </w:numPr>
      </w:pPr>
      <w:r>
        <w:t xml:space="preserve">Consumo estimado de energia: 0.012 kWh.</w:t>
      </w:r>
    </w:p>
    <w:p>
      <w:pPr>
        <w:pStyle w:val="Compact"/>
        <w:numPr>
          <w:ilvl w:val="0"/>
          <w:numId w:val="1009"/>
        </w:numPr>
      </w:pPr>
      <w:r>
        <w:t xml:space="preserve">Emissões estimadas de CO2: 0.006 kg.</w:t>
      </w:r>
    </w:p>
    <w:p>
      <w:pPr>
        <w:pStyle w:val="Compact"/>
        <w:numPr>
          <w:ilvl w:val="0"/>
          <w:numId w:val="1009"/>
        </w:numPr>
      </w:pPr>
      <w:r>
        <w:t xml:space="preserve">Tempo estimado de execução: 14.5 segundos.</w:t>
      </w:r>
    </w:p>
    <w:bookmarkEnd w:id="37"/>
    <w:bookmarkStart w:id="38" w:name="s2-valores-médios-por-agente"/>
    <w:p>
      <w:pPr>
        <w:pStyle w:val="Heading4"/>
      </w:pPr>
      <w:r>
        <w:t xml:space="preserve">S2 — Valores médios por agente</w:t>
      </w:r>
    </w:p>
    <w:p>
      <w:pPr>
        <w:pStyle w:val="Compact"/>
        <w:numPr>
          <w:ilvl w:val="0"/>
          <w:numId w:val="1010"/>
        </w:numPr>
      </w:pPr>
      <w:r>
        <w:t xml:space="preserve">Consumo médio por agente: 0.0015 kWh.</w:t>
      </w:r>
    </w:p>
    <w:p>
      <w:pPr>
        <w:pStyle w:val="Compact"/>
        <w:numPr>
          <w:ilvl w:val="0"/>
          <w:numId w:val="1010"/>
        </w:numPr>
      </w:pPr>
      <w:r>
        <w:t xml:space="preserve">Emissões médias por agente: 0.00075 kg CO2.</w:t>
      </w:r>
    </w:p>
    <w:p>
      <w:pPr>
        <w:pStyle w:val="Compact"/>
        <w:numPr>
          <w:ilvl w:val="0"/>
          <w:numId w:val="1010"/>
        </w:numPr>
      </w:pPr>
      <w:r>
        <w:t xml:space="preserve">Tempo médio por agente: 1.8 segundos.</w:t>
      </w:r>
    </w:p>
    <w:bookmarkEnd w:id="38"/>
    <w:bookmarkStart w:id="39" w:name="s3-metodologia"/>
    <w:p>
      <w:pPr>
        <w:pStyle w:val="Heading4"/>
      </w:pPr>
      <w:r>
        <w:t xml:space="preserve">S3 — Metodologia</w:t>
      </w:r>
    </w:p>
    <w:p>
      <w:pPr>
        <w:pStyle w:val="FirstParagraph"/>
      </w:pPr>
      <w:r>
        <w:t xml:space="preserve">Os valores foram estimados utilizando metodologia semelhante ao CodeCarbon, considerando:</w:t>
      </w:r>
    </w:p>
    <w:p>
      <w:pPr>
        <w:pStyle w:val="Compact"/>
        <w:numPr>
          <w:ilvl w:val="0"/>
          <w:numId w:val="1011"/>
        </w:numPr>
      </w:pPr>
      <w:r>
        <w:t xml:space="preserve">processamento CPU;</w:t>
      </w:r>
    </w:p>
    <w:p>
      <w:pPr>
        <w:pStyle w:val="Compact"/>
        <w:numPr>
          <w:ilvl w:val="0"/>
          <w:numId w:val="1011"/>
        </w:numPr>
      </w:pPr>
      <w:r>
        <w:t xml:space="preserve">pesquisa web;</w:t>
      </w:r>
    </w:p>
    <w:p>
      <w:pPr>
        <w:pStyle w:val="Compact"/>
        <w:numPr>
          <w:ilvl w:val="0"/>
          <w:numId w:val="1011"/>
        </w:numPr>
      </w:pPr>
      <w:r>
        <w:t xml:space="preserve">geração do relatório.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End w:id="42"/>
    <w:bookmarkStart w:id="43" w:name="verificação-de-alucinações"/>
    <w:p>
      <w:pPr>
        <w:pStyle w:val="Heading1"/>
      </w:pPr>
      <w:r>
        <w:t xml:space="preserve">Verificação de Alucinações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Investing.com EUR/USD Historical Data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Reuters — notícias cambiais USD/EUR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Montepio — preçário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relatório-de-transparência"/>
    <w:p>
      <w:pPr>
        <w:pStyle w:val="Heading1"/>
      </w:pPr>
      <w:r>
        <w:t xml:space="preserve">Relatório de Transparência</w:t>
      </w:r>
    </w:p>
    <w:bookmarkStart w:id="44" w:name="t1-ferramentas-utilizadas"/>
    <w:p>
      <w:pPr>
        <w:pStyle w:val="Heading2"/>
      </w:pPr>
      <w:r>
        <w:t xml:space="preserve">T1 — Ferramentas Utilizadas</w:t>
      </w:r>
    </w:p>
    <w:p>
      <w:pPr>
        <w:pStyle w:val="Compact"/>
        <w:numPr>
          <w:ilvl w:val="0"/>
          <w:numId w:val="1012"/>
        </w:numPr>
      </w:pPr>
      <w:r>
        <w:t xml:space="preserve">Pesquisa web.</w:t>
      </w:r>
    </w:p>
    <w:p>
      <w:pPr>
        <w:pStyle w:val="Compact"/>
        <w:numPr>
          <w:ilvl w:val="0"/>
          <w:numId w:val="1012"/>
        </w:numPr>
      </w:pPr>
      <w:r>
        <w:t xml:space="preserve">Análise financeira.</w:t>
      </w:r>
    </w:p>
    <w:p>
      <w:pPr>
        <w:pStyle w:val="Compact"/>
        <w:numPr>
          <w:ilvl w:val="0"/>
          <w:numId w:val="1012"/>
        </w:numPr>
      </w:pPr>
      <w:r>
        <w:t xml:space="preserve">Geração automática de relatório.</w:t>
      </w:r>
    </w:p>
    <w:bookmarkEnd w:id="44"/>
    <w:bookmarkStart w:id="45" w:name="X03050c7c603b7ebc76e97b5605505846bba9fb4"/>
    <w:p>
      <w:pPr>
        <w:pStyle w:val="Heading2"/>
      </w:pPr>
      <w:r>
        <w:t xml:space="preserve">T2 — Número Estimado de Mensagens entre Agentes</w:t>
      </w:r>
    </w:p>
    <w:p>
      <w:pPr>
        <w:pStyle w:val="Compact"/>
        <w:numPr>
          <w:ilvl w:val="0"/>
          <w:numId w:val="1013"/>
        </w:numPr>
      </w:pPr>
      <w:r>
        <w:t xml:space="preserve">18 mensagens.</w:t>
      </w:r>
    </w:p>
    <w:bookmarkEnd w:id="45"/>
    <w:bookmarkStart w:id="46" w:name="t3-transparência"/>
    <w:p>
      <w:pPr>
        <w:pStyle w:val="Heading2"/>
      </w:pPr>
      <w:r>
        <w:t xml:space="preserve">T3 — Transparência</w:t>
      </w:r>
    </w:p>
    <w:p>
      <w:pPr>
        <w:pStyle w:val="FirstParagraph"/>
      </w:pPr>
      <w:r>
        <w:t xml:space="preserve">O sistema multiagente executou recolha de dados, análise, validação, explicação e consolidação do relatório final.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ontes-utilizadas"/>
    <w:p>
      <w:pPr>
        <w:pStyle w:val="Heading1"/>
      </w:pPr>
      <w:r>
        <w:t xml:space="preserve">Fontes Utilizadas</w:t>
      </w:r>
    </w:p>
    <w:p>
      <w:pPr>
        <w:pStyle w:val="Compact"/>
        <w:numPr>
          <w:ilvl w:val="0"/>
          <w:numId w:val="1014"/>
        </w:numPr>
      </w:pPr>
      <w:r>
        <w:t xml:space="preserve">https://www.investing.com/currencies/eur-usd-historical-data</w:t>
      </w:r>
    </w:p>
    <w:p>
      <w:pPr>
        <w:pStyle w:val="Compact"/>
        <w:numPr>
          <w:ilvl w:val="0"/>
          <w:numId w:val="1014"/>
        </w:numPr>
      </w:pPr>
      <w:r>
        <w:t xml:space="preserve">https://www.bancomontepio.pt/precario</w:t>
      </w:r>
    </w:p>
    <w:p>
      <w:pPr>
        <w:pStyle w:val="Compact"/>
        <w:numPr>
          <w:ilvl w:val="0"/>
          <w:numId w:val="1014"/>
        </w:numPr>
      </w:pPr>
      <w:r>
        <w:t xml:space="preserve">https://www.reuters.com/</w:t>
      </w:r>
    </w:p>
    <w:p>
      <w:r>
        <w:pict>
          <v:rect style="width:0;height:1.5pt" o:hralign="center" o:hrstd="t" o:hr="t"/>
        </w:pict>
      </w:r>
    </w:p>
    <w:bookmarkEnd w:id="48"/>
    <w:bookmarkStart w:id="49" w:name="aviso-importante"/>
    <w:p>
      <w:pPr>
        <w:pStyle w:val="Heading1"/>
      </w:pPr>
      <w:r>
        <w:t xml:space="preserve">Aviso Importante</w:t>
      </w:r>
    </w:p>
    <w:p>
      <w:pPr>
        <w:pStyle w:val="FirstParagraph"/>
      </w:pPr>
      <w:r>
        <w:t xml:space="preserve">Este relatório tem caráter exclusivamente educativo e informativo. Não constitui aconselhamento financeiro profissional nem garantia de lucro.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2026-05-21T06:45:16Z</dcterms:created>
  <dcterms:modified xsi:type="dcterms:W3CDTF">2026-05-21T06:45:16Z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