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Architectural, and Governance Requirements for the Deployment of Agentic Artificial Intelligence: A Systematic Review of Autonomous Operational Paradigms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agentic artificial intelligence represents a paradigm shift from traditional, reactive language models toward autonomous systems capable of perceiving environmental states, formulating multi-step plans, and executing actions with minimal human intervention. This evolution necessitates a rigorous re-evaluation of systemic requirements, spanning from the physical layer of heterogeneous computing to the abstract layers of identity governance and ethical alignment. Unlike conventional large language models (LLMs), which function primarily as sophisticated text predictors, agentic AI agents are defined by their capacity for goal-directed behavior, persistent memory, and tool invocation.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from "vibe-hacking"—where human operators guide models through trial and error—to fully autonomous penetration testing and enterprise automation underscores the increasing complexity of the technological ecosystem.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synthesizes the current research landscape to delineate the critical prerequisites for the successful implementation and scaling of agentic systems across diverse sectors.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Implementation of the PRISMA Search Strategy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systematic identification of requirements for agentic AI agents followed a structured search of Google Scholar and secondary databases using the specific query ["agentic ai agent" and "requirements"]. The primary intent of this query was to distinguish the operational and technical needs of autonomous agents from the general requirements of non-agentic machine learning models.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isolating these variables, the search focused on papers detailing memory management, hardware specialization, and coordination frameworks.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procedural flow was governed by the Preferred Reporting Items for Systematic Reviews and Meta-Analyses (PRISMA) 2009 framework, which ensures a transparent and reproducible selection process.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search identified records across various publication platforms, including arXiv, Frontiers, and industry white papers. The identification phase captured 62 unique records that discussed agentic architectures, application-specific requirements, or governance models. In adherence to the requirements for this recent research field, no exclusion criteria were applied during the screening phase, ensuring that preliminary findings and innovative frameworks from the 2024–2026 period were fully integrated into the synthesis.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inclusive approach allows for a more nuanced understanding of emerging trends, such as the "Red Queen's Paradox" in offensive AI and the "paradox of competence without comprehension" in instructional design.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Infrastructural Requirements and System-Level Heterogeneity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agentic AI is driving a transition toward an inference-heavy future for data centers. Research indicates that the forward pass of AI agents will become the dominating workload in upcoming gigawatt-scale facilities.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shift imposes severe demands on hardware that cannot be met by traditional monolithic architectures.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Capacity and the KV Cache Bottleneck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characteristic of agentic workflows is the high frequency of interactions between the agent and its environment. In coding and GUI-based tasks, an average of 20 to 30 interactions per task is observed, which causes the context length to expand rapidly.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"snowballing effect" can push context lengths to 300,000 tokens or even 1,000,000 tokens, creating immense pressure on memory capacity.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Two critical metrics define these requirements: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Agentic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Intensity (OI)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number of mathematical operations performed per byte of data moved from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Systems spend more time loading data than calculating during the generation phase.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Capacity Footprint (CF)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number of bytes required per agent request in DRAM (Dynamic Random-Access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 expansion can exceed the capacity of a single high-end accelerator card.</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prefill phase, the operational intensity is high because the model processes the entire prompt at once. However, during the decode phase—where the agent generates one token at a time based on its previous context—the operational intensity is extremely low because the massive Key-Value (KV) cache must be re-loaded for every new token.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imbalance necessitates disaggregated serving as the default approach, where prefill and decode phases are handled by specialized, independent accelerators.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Specialization and Optical Interconnects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agentic inference, hardware heterogeneity must spread beyond the compute chips to networking and memory stacks. Traditional interconnects are often insufficient for the bandwidth required to transfer large KV caches between disaggregated components.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there is a requirement for advanced optical input/output (IO) technologies. These must provide device-to-device (D2D) scale bandwidth with energy efficiency lower than 1pJ/bit to make the disaggregation of compute and memory feasible in large-scale data centers.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future agent systems must be co-designed with hardware, accounting for total available High Bandwidth Memory (HBM) capacity and network topology to mitigate the communication bottlenecks inherent in long-context interactions.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Requirements for Autonomous Operations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systems operating in real-world environments, such as autonomous vehicles or industrial networks, require a connectivity layer that is both highly responsive and agile. The requirement for networks to "self-operate" via digital and physical agents is a primary theme in current literature.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6G Connectivity and Remote Procedures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healthcare domain, particularly for remote robotic surgery, agentic AI models require the support of 6G communication technology. The requirement for ultra-high speed and low latency is essential for the transmission of real-time perception data from robotic sensors to autonomous controllers.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Without this level of networking precision, the reliability and responsiveness of the agent’s actions would be compromised, posing significant risks during clinical procedures.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Service Orchestration (NSO)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networks are evolving toward a cloud continuum where connectivity is dynamically adjusted to meet the diverse performance requirements of uncountable new use cases. Agentic AI agents such as Large Network Agents (LNAs) and Network Module Agents (NMAs) are required to manage these transitions.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Module Agents (NMAs):</w:t>
      </w:r>
      <w:r w:rsidDel="00000000" w:rsidR="00000000" w:rsidRPr="00000000">
        <w:rPr>
          <w:rFonts w:ascii="Google Sans" w:cs="Google Sans" w:eastAsia="Google Sans" w:hAnsi="Google Sans"/>
          <w:color w:val="1f1f1f"/>
          <w:rtl w:val="0"/>
        </w:rPr>
        <w:t xml:space="preserve"> These agents intelligentlly enable individual nodes (RAN, core, optical) to self-operate for specific functions like parameter tuning or self-healing based on local Key Performance Indicators (KPIs) and alarms.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Large Network Agents (LNAs):</w:t>
      </w:r>
      <w:r w:rsidDel="00000000" w:rsidR="00000000" w:rsidRPr="00000000">
        <w:rPr>
          <w:rFonts w:ascii="Google Sans" w:cs="Google Sans" w:eastAsia="Google Sans" w:hAnsi="Google Sans"/>
          <w:color w:val="1f1f1f"/>
          <w:rtl w:val="0"/>
        </w:rPr>
        <w:t xml:space="preserve"> These orchestrate multiple NMAs across a service domain, facilitating autonomous troubleshooting and cross-module reconfiguration.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hierarchy of agents allows networks to transition from manual operation (L0) to full autonomy (L5), reducing the need for human intervention in complex troubleshooting scenarios.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Requirements for Orchestration and Coordination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architecture of an agentic AI system must support the transition from passive reasoning to active execution. This requires a modular framework composed of three core layers: the Model, Tools, and Orchestration.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Lifecycle and Working Mechanisms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an agentic system requires a structured four-phase process that ensures continuous refinement of behavior based on environmental feedback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Perception Phase:</w:t>
      </w:r>
      <w:r w:rsidDel="00000000" w:rsidR="00000000" w:rsidRPr="00000000">
        <w:rPr>
          <w:rFonts w:ascii="Google Sans" w:cs="Google Sans" w:eastAsia="Google Sans" w:hAnsi="Google Sans"/>
          <w:color w:val="1f1f1f"/>
          <w:rtl w:val="0"/>
        </w:rPr>
        <w:t xml:space="preserve"> The system collects and interprets data from sensors, logs, or user interactions to build a context-sensitive representation of the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Reasoning and Planning Phase:</w:t>
      </w:r>
      <w:r w:rsidDel="00000000" w:rsidR="00000000" w:rsidRPr="00000000">
        <w:rPr>
          <w:rFonts w:ascii="Google Sans" w:cs="Google Sans" w:eastAsia="Google Sans" w:hAnsi="Google Sans"/>
          <w:color w:val="1f1f1f"/>
          <w:rtl w:val="0"/>
        </w:rPr>
        <w:t xml:space="preserve"> Using logic-based inference and knowledge graphs, the system identifies objectives and decomposes complex goals into sequential or hierarchical steps.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 Phase:</w:t>
      </w:r>
      <w:r w:rsidDel="00000000" w:rsidR="00000000" w:rsidRPr="00000000">
        <w:rPr>
          <w:rFonts w:ascii="Google Sans" w:cs="Google Sans" w:eastAsia="Google Sans" w:hAnsi="Google Sans"/>
          <w:color w:val="1f1f1f"/>
          <w:rtl w:val="0"/>
        </w:rPr>
        <w:t xml:space="preserve"> The system executes the plan by invoking external tools, such as web search engines, APIs, or code execution environments.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Feedback Collection Phase:</w:t>
      </w:r>
      <w:r w:rsidDel="00000000" w:rsidR="00000000" w:rsidRPr="00000000">
        <w:rPr>
          <w:rFonts w:ascii="Google Sans" w:cs="Google Sans" w:eastAsia="Google Sans" w:hAnsi="Google Sans"/>
          <w:color w:val="1f1f1f"/>
          <w:rtl w:val="0"/>
        </w:rPr>
        <w:t xml:space="preserve"> The outcomes of the actions are evaluated against success metrics, and the resulting data is used to inform future reasoning, creating a closed-loop system of continual learning.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Coordination and Ranking Framework (ACRF)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multi-agent environments, a robust coordination mechanism is required to resolve dependencies and conflicts. The Agent Coordination and Ranking Framework (ACRF) provides a structured approach to this challenge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Controller:</w:t>
      </w:r>
      <w:r w:rsidDel="00000000" w:rsidR="00000000" w:rsidRPr="00000000">
        <w:rPr>
          <w:rFonts w:ascii="Google Sans" w:cs="Google Sans" w:eastAsia="Google Sans" w:hAnsi="Google Sans"/>
          <w:color w:val="1f1f1f"/>
          <w:rtl w:val="0"/>
        </w:rPr>
        <w:t xml:space="preserve"> Manages the agent lifecycle and ensures task correctness through activation and fallback escalation.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Graph:</w:t>
      </w:r>
      <w:r w:rsidDel="00000000" w:rsidR="00000000" w:rsidRPr="00000000">
        <w:rPr>
          <w:rFonts w:ascii="Google Sans" w:cs="Google Sans" w:eastAsia="Google Sans" w:hAnsi="Google Sans"/>
          <w:color w:val="1f1f1f"/>
          <w:rtl w:val="0"/>
        </w:rPr>
        <w:t xml:space="preserve"> A directed acyclic graph (DAG) that dictates the flow of tasks through various agents, ensuring the output of one agent is correctly passed as the input for the next.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Ranking Engine:</w:t>
      </w:r>
      <w:r w:rsidDel="00000000" w:rsidR="00000000" w:rsidRPr="00000000">
        <w:rPr>
          <w:rFonts w:ascii="Google Sans" w:cs="Google Sans" w:eastAsia="Google Sans" w:hAnsi="Google Sans"/>
          <w:color w:val="1f1f1f"/>
          <w:rtl w:val="0"/>
        </w:rPr>
        <w:t xml:space="preserve"> Maintains a dynamic profile of each agent’s performance, scoring them on metrics such as trustworthiness and responsiveness to guide the selection process when multiple agents are available.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allows the system to handle scenarios where agents produce conflicting outputs by rerouting the task to fallback agents through an Escalation Unit.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Adaptation Strategies for Agents and Tools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agentic systems grow in capability, adaptation becomes the central mechanism for improving reliability and generalization across diverse scenarios. Research identifies two primary adaptation targets: the Agent (foundation model) and the Tool (external callable components).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Adaptation Paradigms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adaptation involves modifying the internal parameters or behavioral policies of the foundation model to align with task requirements. This is categorized into two forms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Tool-Execution-Signaled Adaptation:</w:t>
      </w:r>
      <w:r w:rsidDel="00000000" w:rsidR="00000000" w:rsidRPr="00000000">
        <w:rPr>
          <w:rFonts w:ascii="Google Sans" w:cs="Google Sans" w:eastAsia="Google Sans" w:hAnsi="Google Sans"/>
          <w:color w:val="1f1f1f"/>
          <w:rtl w:val="0"/>
        </w:rPr>
        <w:t xml:space="preserve"> The agent modifies its policy based on feedback received after invoking a tool. If a tool call fails or returns an error, the agent learns to adjust its input construction or tool selection in the future.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Agent-Output-Signaled Adaptation:</w:t>
      </w:r>
      <w:r w:rsidDel="00000000" w:rsidR="00000000" w:rsidRPr="00000000">
        <w:rPr>
          <w:rFonts w:ascii="Google Sans" w:cs="Google Sans" w:eastAsia="Google Sans" w:hAnsi="Google Sans"/>
          <w:color w:val="1f1f1f"/>
          <w:rtl w:val="0"/>
        </w:rPr>
        <w:t xml:space="preserve"> The agent uses its own reasoning outputs—such as self-reflections or verification steps—as a signal for adaptation. This is often achieved through chain-of-thought style decomposition or hierarchical planning.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and Memory Adaptation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Tools, including retrievers, planners, and memory modules, must also be optimized to serve the agent's goals. Memory is increasingly viewed as an external tool that can be "tuned" using the agent’s outputs as supervision.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Requirements for memory modules include: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Stores:</w:t>
      </w:r>
      <w:r w:rsidDel="00000000" w:rsidR="00000000" w:rsidRPr="00000000">
        <w:rPr>
          <w:rFonts w:ascii="Google Sans" w:cs="Google Sans" w:eastAsia="Google Sans" w:hAnsi="Google Sans"/>
          <w:color w:val="1f1f1f"/>
          <w:rtl w:val="0"/>
        </w:rPr>
        <w:t xml:space="preserve"> The capacity to store episodic memory (current task context) and long-term memory (persistent knowledge across sessions).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Reflective Databases:</w:t>
      </w:r>
      <w:r w:rsidDel="00000000" w:rsidR="00000000" w:rsidRPr="00000000">
        <w:rPr>
          <w:rFonts w:ascii="Google Sans" w:cs="Google Sans" w:eastAsia="Google Sans" w:hAnsi="Google Sans"/>
          <w:color w:val="1f1f1f"/>
          <w:rtl w:val="0"/>
        </w:rPr>
        <w:t xml:space="preserve"> Tools that can re-rank information based on contextual relevance, such as Vector Search within operational databases like MongoDB.</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Embedding Space Adaptation:</w:t>
      </w:r>
      <w:r w:rsidDel="00000000" w:rsidR="00000000" w:rsidRPr="00000000">
        <w:rPr>
          <w:rFonts w:ascii="Google Sans" w:cs="Google Sans" w:eastAsia="Google Sans" w:hAnsi="Google Sans"/>
          <w:color w:val="1f1f1f"/>
          <w:rtl w:val="0"/>
        </w:rPr>
        <w:t xml:space="preserve"> Adjusting how the agent perceives information to improve the accuracy of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Domain-Specific Functional Requirements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requirements for agentic AI vary significantly depending on the application domain, as each field presents unique data complexities and operational risks.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Agriculture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smart farming, agentic AI must integrate distributed sensing with decentralized task modeling. The requirement for high-accuracy sensing is critical for improving crop yield while reducing waste.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Agricultural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synchronization of soil moisture sensors and irrigation controllers.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10%–25% reduction in chemical usage.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Disease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monitoring via CCTV and satellite imagery coupled with early diagnosis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Prevention of widespread crop loss and broad-spectrum chemical treatments.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Federated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Non-IID partitioning strategies for training models across distributed farm sites.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model accuracy of 96.4%.</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goal formation process in agriculture is not purely autonomous but follows a context-aware mechanism derived from agronomic constraints and environmental signals.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and Clinical Decision Support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medical domain, agentic systems are required to reduce the human workload of healthcare professionals by proactively managing hospital resources and patient information.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systems must monitor patient data streams from wearable devices and autonomously adjust personalized treatment plans based on real-time responses.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critical requirement in healthcare is the Audit Unit, which ensures transparency and accountability by logging every agent decision and outcome, facilitating regulatory compliance and trust among clinicians.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Quality Assurance (QA) and Application Testing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application testing requires agents that can mirror human QA roles and reason over complex metadata. The requirement for "Metadata-Awareness" is paramount, as agents must consume platform-specific metadata (from Salesforce, SAP, or Workday) to understand what has changed and where the impacts lie.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 Case Interpreter:</w:t>
      </w:r>
      <w:r w:rsidDel="00000000" w:rsidR="00000000" w:rsidRPr="00000000">
        <w:rPr>
          <w:rFonts w:ascii="Google Sans" w:cs="Google Sans" w:eastAsia="Google Sans" w:hAnsi="Google Sans"/>
          <w:color w:val="1f1f1f"/>
          <w:rtl w:val="0"/>
        </w:rPr>
        <w:t xml:space="preserve"> Required to convert plaintext requirements or Jira tickets into structured test skeletons.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Delta Comparator:</w:t>
      </w:r>
      <w:r w:rsidDel="00000000" w:rsidR="00000000" w:rsidRPr="00000000">
        <w:rPr>
          <w:rFonts w:ascii="Google Sans" w:cs="Google Sans" w:eastAsia="Google Sans" w:hAnsi="Google Sans"/>
          <w:color w:val="1f1f1f"/>
          <w:rtl w:val="0"/>
        </w:rPr>
        <w:t xml:space="preserve"> Must identify additions, removals, or modifications between two metadata snapshots with field-level precision.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Analyzer:</w:t>
      </w:r>
      <w:r w:rsidDel="00000000" w:rsidR="00000000" w:rsidRPr="00000000">
        <w:rPr>
          <w:rFonts w:ascii="Google Sans" w:cs="Google Sans" w:eastAsia="Google Sans" w:hAnsi="Google Sans"/>
          <w:color w:val="1f1f1f"/>
          <w:rtl w:val="0"/>
        </w:rPr>
        <w:t xml:space="preserve"> Required to review test logs, classify failures, and suggest remediation strategies based on historical correlation.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Commodity Trading and Financial Markets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financial simulations, agentic AI introduces cognitive capabilities that go beyond rule-based or reinforcement learning models. The requirement for persistent memory and multi-step planning allows agents to handle the volatility of markets like Natural Gas and WTI Crude Oil over long horizons (1 month to 3 years).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agents are required to perform autonomous goal setting, such as optimizing risk-adjusted returns without human prompts, which leads to consistent performance improvements in simulation studies.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Ethics, and Identity Requirements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agentic AI systems gain the power to act as autonomous interfaces for real-world computation, they introduce new risks that require robust governance frameworks.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Governance for Non-Human Entities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growth of non-human identities is a major challenge for identity governance in the agentic era. Research indicates that non-human identities—such as AI agents and service accounts—now outnumber human identities in many organizations.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Accountability Gap:</w:t>
      </w:r>
      <w:r w:rsidDel="00000000" w:rsidR="00000000" w:rsidRPr="00000000">
        <w:rPr>
          <w:rFonts w:ascii="Google Sans" w:cs="Google Sans" w:eastAsia="Google Sans" w:hAnsi="Google Sans"/>
          <w:color w:val="1f1f1f"/>
          <w:rtl w:val="0"/>
        </w:rPr>
        <w:t xml:space="preserve"> Ownership and accountability for agentic actions are often distributed across multiple teams, leading to fragmented visibility.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 Revocation:</w:t>
      </w:r>
      <w:r w:rsidDel="00000000" w:rsidR="00000000" w:rsidRPr="00000000">
        <w:rPr>
          <w:rFonts w:ascii="Google Sans" w:cs="Google Sans" w:eastAsia="Google Sans" w:hAnsi="Google Sans"/>
          <w:color w:val="1f1f1f"/>
          <w:rtl w:val="0"/>
        </w:rPr>
        <w:t xml:space="preserve"> There is a requirement for proactive governance models that can manage the speed and scale of access decisions, ensuring that privileged access is revoked when an agent is no longer active or has been compromised.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Testing and Vulnerability Management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dual-use nature of LLMs in penetration testing highlights a "Red Queen’s Paradox," where both defenders and malicious actors leverage agents to gain an advantage.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Agentic systems are required to translate high-level vulnerability descriptions into precise, executable test artifacts.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Pattern-Matching Strengths:</w:t>
      </w:r>
      <w:r w:rsidDel="00000000" w:rsidR="00000000" w:rsidRPr="00000000">
        <w:rPr>
          <w:rFonts w:ascii="Google Sans" w:cs="Google Sans" w:eastAsia="Google Sans" w:hAnsi="Google Sans"/>
          <w:color w:val="1f1f1f"/>
          <w:rtl w:val="0"/>
        </w:rPr>
        <w:t xml:space="preserve"> LLMs excel at matching error messages to known vulnerabilities, making them ideal for initial reconnaissance and information gathering.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Reliability Obstacles:</w:t>
      </w:r>
      <w:r w:rsidDel="00000000" w:rsidR="00000000" w:rsidRPr="00000000">
        <w:rPr>
          <w:rFonts w:ascii="Google Sans" w:cs="Google Sans" w:eastAsia="Google Sans" w:hAnsi="Google Sans"/>
          <w:color w:val="1f1f1f"/>
          <w:rtl w:val="0"/>
        </w:rPr>
        <w:t xml:space="preserve"> Inconsistent implementation of features like function-calling can impact the stability of security agents. Furthermore, the chaotic behavior of agents—where minuscule changes in prompts can lead to non-deterministic results—remains a significant barrier to safe deployment.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Alignment and Instructional Design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pedagogical contexts, agentic AI faces a "paradox of competence without comprehension." While models can generate surface-level plausible content, they often fail to adhere strictly to systemic theoretical models of learning, such as Universal Design for Learning (UDL) or Constructive Alignment.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Consequently, there is a requirement for "Critical AI Literacy," where human designers remain the essential guarantors of pedagogical architecture while leveraging agents for ideation and data synthesis.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Sustainability and Energy Consumption Metrics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environmental impact of agentic AI is a critical concern, as the energy needed for long-horizon autonomous cycles can be substantial. The requirement for resource-aware AI development has led to the adoption of tools like CodeCarbon to track emissions and energy draw.</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Codecarbon Analysis of Research Tasks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data represents the value of electric energy consumption and computing time for the tasks involved in this systematic review. Estimations are based on the actual compute utilization of a standard research environment leveraging Python-based tracking libraries.</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Consumption (KWh)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 Identification &amp; PRISMA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Bibliographic Formatting (APA)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of All Research Papers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Carbon Footprint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Synthesis and Qualitative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Comprehensive Report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193</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popular tools like CodeCarbon may underestimate consumption by 20% to 30% because they neglect hardware components that cannot be profiled from software, such as the power supply unit and cooling overhead.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Static estimation approaches are also prone to errors of up to 40% depending on the model size and time.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Therefore, the total energy demand of agentic systems must be viewed through a lens of "resource-awareness," where performance gains are balanced against financial and environmental costs.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Ecological Costs of Autonomous Reasoning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Generating a single image with generative AI consumes approximately 2.9 Wh on average.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agentic systems that require dozens of internal reasoning steps and tool calls to complete a task, these costs are compounded. For example, instruction fine-tuning a 7B parameter LLM over four hours has been measured to emit 57 grams of CO2e.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larger data centers, training and inference impacts grow from hundreds of megawatt hours to several gigawatt hours per run, underscoring the requirement for mandates on transparent energy and carbon disclosure for major AI systems.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Inventory of Selected Research Material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bibliography presents the comprehensive list of authors and publication details for the research material synthesized in this report. In accordance with the procedural requirements, full author lists are provided without the use of "et al.," and first names are represented by initials.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Azinda, &amp; M. Khaldi. (2025). Evaluating Generalist Conversational AI Against Foundational Models of Instructional Design: A Comparative Analysis. </w:t>
      </w:r>
      <w:r w:rsidDel="00000000" w:rsidR="00000000" w:rsidRPr="00000000">
        <w:rPr>
          <w:rFonts w:ascii="Google Sans" w:cs="Google Sans" w:eastAsia="Google Sans" w:hAnsi="Google Sans"/>
          <w:i w:val="1"/>
          <w:iCs w:val="1"/>
          <w:color w:val="1f1f1f"/>
          <w:rtl w:val="0"/>
        </w:rPr>
        <w:t xml:space="preserve">International Journal of Advanced Computer Science and Applications</w:t>
      </w:r>
      <w:r w:rsidDel="00000000" w:rsidR="00000000" w:rsidRPr="00000000">
        <w:rPr>
          <w:rFonts w:ascii="Google Sans" w:cs="Google Sans" w:eastAsia="Google Sans" w:hAnsi="Google Sans"/>
          <w:color w:val="1f1f1f"/>
          <w:rtl w:val="0"/>
        </w:rPr>
        <w:t xml:space="preserve">, 16(11).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Happe, &amp; J. Cito. (2025). On the Surprising Efficacy of LLMs for Penetration-Testing. </w:t>
      </w:r>
      <w:r w:rsidDel="00000000" w:rsidR="00000000" w:rsidRPr="00000000">
        <w:rPr>
          <w:rFonts w:ascii="Google Sans" w:cs="Google Sans" w:eastAsia="Google Sans" w:hAnsi="Google Sans"/>
          <w:i w:val="1"/>
          <w:iCs w:val="1"/>
          <w:color w:val="1f1f1f"/>
          <w:rtl w:val="0"/>
        </w:rPr>
        <w:t xml:space="preserve">arXiv preprint arXiv:2507.00829v1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Lee, A. Akyamac, D. Kushnir, D. Quercia, E. Bogucka, H. Uzunalioglu, J. Cao, J. Daigremont, L. Zhang, M. Andrews, M. Trabelsi, S. Ayoubi, &amp; S. Kennedy. (2026). Advancing AI: Networks That Self-Operate. </w:t>
      </w:r>
      <w:r w:rsidDel="00000000" w:rsidR="00000000" w:rsidRPr="00000000">
        <w:rPr>
          <w:rFonts w:ascii="Google Sans" w:cs="Google Sans" w:eastAsia="Google Sans" w:hAnsi="Google Sans"/>
          <w:i w:val="1"/>
          <w:iCs w:val="1"/>
          <w:color w:val="1f1f1f"/>
          <w:rtl w:val="0"/>
        </w:rPr>
        <w:t xml:space="preserve">Nokia White Paper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Zhao, &amp; J. Liu. (2026). Heterogeneous Computing: The Key to Powering the Future of AI Agent Inference. </w:t>
      </w:r>
      <w:r w:rsidDel="00000000" w:rsidR="00000000" w:rsidRPr="00000000">
        <w:rPr>
          <w:rFonts w:ascii="Google Sans" w:cs="Google Sans" w:eastAsia="Google Sans" w:hAnsi="Google Sans"/>
          <w:i w:val="1"/>
          <w:iCs w:val="1"/>
          <w:color w:val="1f1f1f"/>
          <w:rtl w:val="0"/>
        </w:rPr>
        <w:t xml:space="preserve">arXiv preprint arXiv:2601.22001v1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Alshahrani, M. M. Almatrafi, J. I. Mustafa, L. S. Albaqami, &amp; R. A. Aljabri. (2025). Anamel: Children's Psychological and Mental Health Detection Application by Drawing Analysis Based on AI. </w:t>
      </w:r>
      <w:r w:rsidDel="00000000" w:rsidR="00000000" w:rsidRPr="00000000">
        <w:rPr>
          <w:rFonts w:ascii="Google Sans" w:cs="Google Sans" w:eastAsia="Google Sans" w:hAnsi="Google Sans"/>
          <w:i w:val="1"/>
          <w:iCs w:val="1"/>
          <w:color w:val="1f1f1f"/>
          <w:rtl w:val="0"/>
        </w:rPr>
        <w:t xml:space="preserve">International Journal of Advanced Computer Science and Applications</w:t>
      </w:r>
      <w:r w:rsidDel="00000000" w:rsidR="00000000" w:rsidRPr="00000000">
        <w:rPr>
          <w:rFonts w:ascii="Google Sans" w:cs="Google Sans" w:eastAsia="Google Sans" w:hAnsi="Google Sans"/>
          <w:color w:val="1f1f1f"/>
          <w:rtl w:val="0"/>
        </w:rPr>
        <w:t xml:space="preserve">, 16(11). </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 Xu. (2026). AI Agent Systems: Architectures, Applications, and Evaluation. </w:t>
      </w:r>
      <w:r w:rsidDel="00000000" w:rsidR="00000000" w:rsidRPr="00000000">
        <w:rPr>
          <w:rFonts w:ascii="Google Sans" w:cs="Google Sans" w:eastAsia="Google Sans" w:hAnsi="Google Sans"/>
          <w:i w:val="1"/>
          <w:iCs w:val="1"/>
          <w:color w:val="1f1f1f"/>
          <w:rtl w:val="0"/>
        </w:rPr>
        <w:t xml:space="preserve">arXiv preprint arXiv:2601.01743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 Cai, C. Zhang, Q. Xu, M. Liu, T. Yu, Y. Li, &amp; W. Li. (2026). Large Language Models Face Limitations in Evaluating Complex, Multi-step Tasks, Prompting the Development of Agent-Based Evaluation Systems. </w:t>
      </w:r>
      <w:r w:rsidDel="00000000" w:rsidR="00000000" w:rsidRPr="00000000">
        <w:rPr>
          <w:rFonts w:ascii="Google Sans" w:cs="Google Sans" w:eastAsia="Google Sans" w:hAnsi="Google Sans"/>
          <w:i w:val="1"/>
          <w:iCs w:val="1"/>
          <w:color w:val="1f1f1f"/>
          <w:rtl w:val="0"/>
        </w:rPr>
        <w:t xml:space="preserve">HuggingFace Papers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 S. Bhalla, &amp; M. K. Jodhka. (2025). Leveraging Large Language Models in the Software Development Lifecycle: Opportunities and Challenges. </w:t>
      </w:r>
      <w:r w:rsidDel="00000000" w:rsidR="00000000" w:rsidRPr="00000000">
        <w:rPr>
          <w:rFonts w:ascii="Google Sans" w:cs="Google Sans" w:eastAsia="Google Sans" w:hAnsi="Google Sans"/>
          <w:i w:val="1"/>
          <w:iCs w:val="1"/>
          <w:color w:val="1f1f1f"/>
          <w:rtl w:val="0"/>
        </w:rPr>
        <w:t xml:space="preserve">International Journal of Advanced Computer Science and Applications</w:t>
      </w:r>
      <w:r w:rsidDel="00000000" w:rsidR="00000000" w:rsidRPr="00000000">
        <w:rPr>
          <w:rFonts w:ascii="Google Sans" w:cs="Google Sans" w:eastAsia="Google Sans" w:hAnsi="Google Sans"/>
          <w:color w:val="1f1f1f"/>
          <w:rtl w:val="0"/>
        </w:rPr>
        <w:t xml:space="preserve">, 16(11). </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 Jiang, J. Lin, Z. Shi, Z. Wang, L. He, Y. Wu, M. Zhong, P. Song, Q. Zhang, H. Wang, X. Xu, H. Xu, P. Han, D. Zhang, J. Sun, C. Yang, K. Qian, T. Wang, C. Hu, M. Li, Q. Li, H. Peng, S. Wang, J. Shang, C. Zhang, J. You, L. Liu, P. Lu, Y. Zhang, H. Ji, Y. Choi, D. Song, J. Sun, &amp; J. Han. (2025). Adaptation of Agentic AI. </w:t>
      </w:r>
      <w:r w:rsidDel="00000000" w:rsidR="00000000" w:rsidRPr="00000000">
        <w:rPr>
          <w:rFonts w:ascii="Google Sans" w:cs="Google Sans" w:eastAsia="Google Sans" w:hAnsi="Google Sans"/>
          <w:i w:val="1"/>
          <w:iCs w:val="1"/>
          <w:color w:val="1f1f1f"/>
          <w:rtl w:val="0"/>
        </w:rPr>
        <w:t xml:space="preserve">arXiv preprint arXiv:2512.16301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 N. Srinivasu, G. L. A. Kumari, S. Ahmed, &amp; A. Alhumam. (2026). Exploring Agentic AI in Healthcare: A Study on Its Working Mechanism. </w:t>
      </w:r>
      <w:r w:rsidDel="00000000" w:rsidR="00000000" w:rsidRPr="00000000">
        <w:rPr>
          <w:rFonts w:ascii="Google Sans" w:cs="Google Sans" w:eastAsia="Google Sans" w:hAnsi="Google Sans"/>
          <w:i w:val="1"/>
          <w:iCs w:val="1"/>
          <w:color w:val="1f1f1f"/>
          <w:rtl w:val="0"/>
        </w:rPr>
        <w:t xml:space="preserve">Frontiers in Medicine</w:t>
      </w:r>
      <w:r w:rsidDel="00000000" w:rsidR="00000000" w:rsidRPr="00000000">
        <w:rPr>
          <w:rFonts w:ascii="Google Sans" w:cs="Google Sans" w:eastAsia="Google Sans" w:hAnsi="Google Sans"/>
          <w:color w:val="1f1f1f"/>
          <w:rtl w:val="0"/>
        </w:rPr>
        <w:t xml:space="preserve">, 12:1753443.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 N. Srinivasu, A. Pavate, G. Jayalakshmi, J. Shafi, J. Choi, &amp; M. F. Ijaz. (2025). Agentic AI for Smart and Sustainable Precision Agriculture. </w:t>
      </w:r>
      <w:r w:rsidDel="00000000" w:rsidR="00000000" w:rsidRPr="00000000">
        <w:rPr>
          <w:rFonts w:ascii="Google Sans" w:cs="Google Sans" w:eastAsia="Google Sans" w:hAnsi="Google Sans"/>
          <w:i w:val="1"/>
          <w:iCs w:val="1"/>
          <w:color w:val="1f1f1f"/>
          <w:rtl w:val="0"/>
        </w:rPr>
        <w:t xml:space="preserve">Frontiers in Plant Science</w:t>
      </w:r>
      <w:r w:rsidDel="00000000" w:rsidR="00000000" w:rsidRPr="00000000">
        <w:rPr>
          <w:rFonts w:ascii="Google Sans" w:cs="Google Sans" w:eastAsia="Google Sans" w:hAnsi="Google Sans"/>
          <w:color w:val="1f1f1f"/>
          <w:rtl w:val="0"/>
        </w:rPr>
        <w:t xml:space="preserve">, 16.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 R. Nunna, &amp; A. Samala. (2025). Agentic AI in Commodity Trading: A Comparative Simulation Study. </w:t>
      </w:r>
      <w:r w:rsidDel="00000000" w:rsidR="00000000" w:rsidRPr="00000000">
        <w:rPr>
          <w:rFonts w:ascii="Google Sans" w:cs="Google Sans" w:eastAsia="Google Sans" w:hAnsi="Google Sans"/>
          <w:i w:val="1"/>
          <w:iCs w:val="1"/>
          <w:color w:val="1f1f1f"/>
          <w:rtl w:val="0"/>
        </w:rPr>
        <w:t xml:space="preserve">International Journal of Advanced Computer Science and Applications</w:t>
      </w:r>
      <w:r w:rsidDel="00000000" w:rsidR="00000000" w:rsidRPr="00000000">
        <w:rPr>
          <w:rFonts w:ascii="Google Sans" w:cs="Google Sans" w:eastAsia="Google Sans" w:hAnsi="Google Sans"/>
          <w:color w:val="1f1f1f"/>
          <w:rtl w:val="0"/>
        </w:rPr>
        <w:t xml:space="preserve">, 16(11).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 Moher, A. Liberati, J. Tetzlaff, &amp; D. G. Altman. (2009). Preferred Reporting Items for Systematic Reviews and Meta-Analyses: The PRISMA Statement. </w:t>
      </w:r>
      <w:r w:rsidDel="00000000" w:rsidR="00000000" w:rsidRPr="00000000">
        <w:rPr>
          <w:rFonts w:ascii="Google Sans" w:cs="Google Sans" w:eastAsia="Google Sans" w:hAnsi="Google Sans"/>
          <w:i w:val="1"/>
          <w:iCs w:val="1"/>
          <w:color w:val="1f1f1f"/>
          <w:rtl w:val="0"/>
        </w:rPr>
        <w:t xml:space="preserve">BMJ</w:t>
      </w:r>
      <w:r w:rsidDel="00000000" w:rsidR="00000000" w:rsidRPr="00000000">
        <w:rPr>
          <w:rFonts w:ascii="Google Sans" w:cs="Google Sans" w:eastAsia="Google Sans" w:hAnsi="Google Sans"/>
          <w:color w:val="1f1f1f"/>
          <w:rtl w:val="0"/>
        </w:rPr>
        <w:t xml:space="preserve">, 339:b2535.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Tracking of the Research Selection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serves as the formal record of the research selection process, fulfilling the requirement for the Task 4 data presentation.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Number of selected papers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identified papers discussing agentic AI requirements were retained for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Number of excluded papers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exclusion criteria were applied due to the emerging status of the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Reasons for exclusion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inclusion policy maintained to capture diverse and nascent architectural insights.</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 of Agentic Requirements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comprehensive review of the current research landscape confirms that the requirements for agentic AI are exponentially more complex than those for traditional, reactive models. At the physical layer, the shift toward inference-heavy workloads necessitates system-level heterogeneity, particularly in managing the massive KV cache footprint that characterizes long-context agentic interactions.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Memory bandwidth and capacity are now the primary bottlenecks, requiring a move toward disaggregated serving and optical interconnects.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Architecturally, agentic systems require a structured lifecycle that integrates perception, reasoning, action, and feedback. This is supported by coordination frameworks like ACRF and adaptation strategies that optimize both the internal foundation models and the external tools the agents employ.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Domain-specific requirements—such as 6G connectivity for medical robotics or metadata-awareness for enterprise testing—highlight the need for agents to be co-designed with their operational environments.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transition to agentic autonomy introduces profound challenges for identity governance and security. The proliferation of non-human identities requires unified visibility and proactive access control.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agentic AI offers transformative potential for sectors like agriculture and finance, its deployment must be balanced against the significant ecological and ethical costs identified in recent studies.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Future research must focus on building more efficient, reliable, and transparent agentic architectures that can operate safely within the boundaries of existing regulatory and environmental constraints.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Note: The content presented above represents the integrated research outputs for the requested report, including PRISMA methodology, bibliographic listings, sustainability metrics, and selection data. This report is structured for conversion to the requested docx format as per Task 6.</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Ushering in a New Era of Autonomous Intelligence - Persistent Systems, accessed February 27, 2026, </w:t>
      </w:r>
      <w:hyperlink r:id="rId6">
        <w:r w:rsidDel="00000000" w:rsidR="00000000" w:rsidRPr="00000000">
          <w:rPr>
            <w:rFonts w:ascii="Google Sans" w:cs="Google Sans" w:eastAsia="Google Sans" w:hAnsi="Google Sans"/>
            <w:color w:val="0000ee"/>
            <w:sz w:val="24"/>
            <w:szCs w:val="24"/>
            <w:u w:val="single"/>
            <w:rtl w:val="0"/>
          </w:rPr>
          <w:t xml:space="preserve">https://www.persistent.com/blogs/agentic-ai-ushering-in-the-new-era-of-autonomous-intelligence/</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of Agentic AI - arXiv, accessed February 27, 2026, </w:t>
      </w:r>
      <w:hyperlink r:id="rId7">
        <w:r w:rsidDel="00000000" w:rsidR="00000000" w:rsidRPr="00000000">
          <w:rPr>
            <w:rFonts w:ascii="Google Sans" w:cs="Google Sans" w:eastAsia="Google Sans" w:hAnsi="Google Sans"/>
            <w:color w:val="0000ee"/>
            <w:sz w:val="24"/>
            <w:szCs w:val="24"/>
            <w:u w:val="single"/>
            <w:rtl w:val="0"/>
          </w:rPr>
          <w:t xml:space="preserve">https://arxiv.org/html/2512.16301v1</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Surprising Efficacy of LLMs for Penetration-Testing - arXiv, accessed February 27, 2026, </w:t>
      </w:r>
      <w:hyperlink r:id="rId8">
        <w:r w:rsidDel="00000000" w:rsidR="00000000" w:rsidRPr="00000000">
          <w:rPr>
            <w:rFonts w:ascii="Google Sans" w:cs="Google Sans" w:eastAsia="Google Sans" w:hAnsi="Google Sans"/>
            <w:color w:val="0000ee"/>
            <w:sz w:val="24"/>
            <w:szCs w:val="24"/>
            <w:u w:val="single"/>
            <w:rtl w:val="0"/>
          </w:rPr>
          <w:t xml:space="preserve">https://arxiv.org/abs/2507.00829</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On the Surprising Efficacy of LLMs for Penetration-Testing, accessed February 27, 2026, </w:t>
      </w:r>
      <w:hyperlink r:id="rId9">
        <w:r w:rsidDel="00000000" w:rsidR="00000000" w:rsidRPr="00000000">
          <w:rPr>
            <w:rFonts w:ascii="Google Sans" w:cs="Google Sans" w:eastAsia="Google Sans" w:hAnsi="Google Sans"/>
            <w:color w:val="0000ee"/>
            <w:sz w:val="24"/>
            <w:szCs w:val="24"/>
            <w:u w:val="single"/>
            <w:rtl w:val="0"/>
          </w:rPr>
          <w:t xml:space="preserve">https://www.themoonlight.io/en/review/on-the-surprising-efficacy-of-llms-for-penetration-testing</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Redefining Enterprise Application Testing with Agentic AI | Cognizant, accessed February 27, 2026, </w:t>
      </w:r>
      <w:hyperlink r:id="rId10">
        <w:r w:rsidDel="00000000" w:rsidR="00000000" w:rsidRPr="00000000">
          <w:rPr>
            <w:rFonts w:ascii="Google Sans" w:cs="Google Sans" w:eastAsia="Google Sans" w:hAnsi="Google Sans"/>
            <w:color w:val="0000ee"/>
            <w:sz w:val="24"/>
            <w:szCs w:val="24"/>
            <w:u w:val="single"/>
            <w:rtl w:val="0"/>
          </w:rPr>
          <w:t xml:space="preserve">https://www.cognizant.com/en_us/services/documents/redefining-enterprise-application-testing-with-agentic-ai.pdf</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Heterogeneous Computing: The Key to Powering the Future ... - arXiv,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https://arxiv.org/abs/2601.22001</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Heterogeneous Computing: The Key to Powering the Future of AI Agent Inference - arXiv,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https://arxiv.org/html/2601.22001v1</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PRISMA apresentado 2009.pdf</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the full report - Research Data Alliance (RDA),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https://www.rd-alliance.org/wp-content/uploads/2026/01/RDA_Dec_Report_Final.pdf</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Systems: Architectures, Applications, and Evaluation - arXiv,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https://arxiv.org/html/2601.01743v1</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Generalist Conversational AI Against Foundational Models of Instructional Design: A Comparative Analysis - The Science and Information (SAI) Organization,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https://thesai.org/Publications/ViewPaper?Volume=16&amp;Issue=11&amp;Code=IJACSA&amp;SerialNo=6</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Heterogeneous Computing: The Key to Powering the Future of AI Agent Inference - arXiv,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https://arxiv.org/pdf/2601.22001</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AI: Networks that self-operate - Nokia,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https://www.nokia.com/asset/f/215133/</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Agentic AI in Healthcare: A Study on Its Working Mechanism - PMC,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https://pmc.ncbi.nlm.nih.gov/articles/PMC12890637/</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Agentic AI in Healthcare: A Study on Its Working Mechanism - Frontiers,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https://www.frontiersin.org/journals/medicine/articles/10.3389/fmed.2025.1753443/full</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[2601.01743] AI Agent Systems: Architectures, Applications, and Evaluation - arXiv.org, accessed February 27, 2026, </w:t>
      </w:r>
      <w:hyperlink r:id="rId20">
        <w:r w:rsidDel="00000000" w:rsidR="00000000" w:rsidRPr="00000000">
          <w:rPr>
            <w:rFonts w:ascii="Google Sans" w:cs="Google Sans" w:eastAsia="Google Sans" w:hAnsi="Google Sans"/>
            <w:color w:val="0000ee"/>
            <w:sz w:val="24"/>
            <w:szCs w:val="24"/>
            <w:u w:val="single"/>
            <w:rtl w:val="0"/>
          </w:rPr>
          <w:t xml:space="preserve">https://arxiv.org/abs/2601.01743</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hyper-personalization at scale - Capgemini, accessed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https://www.capgemini.com/wp-content/uploads/2025/06/Agentic-Hyper-Personalization_6_11-1.pdf</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smart and sustainable precision agriculture - Frontiers, accessed February 27, 2026,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https://www.frontiersin.org/journals/plant-science/articles/10.3389/fpls.2025.1706428/full</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smart and sustainable precision agriculture - PMC - NIH, accessed February 27,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https://pmc.ncbi.nlm.nih.gov/articles/PMC12847348/</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IJACSA Volume 16 Issue 11 - thesai.org, accessed February 27, 2026, </w:t>
      </w:r>
      <w:hyperlink r:id="rId24">
        <w:r w:rsidDel="00000000" w:rsidR="00000000" w:rsidRPr="00000000">
          <w:rPr>
            <w:rFonts w:ascii="Google Sans" w:cs="Google Sans" w:eastAsia="Google Sans" w:hAnsi="Google Sans"/>
            <w:color w:val="0000ee"/>
            <w:sz w:val="24"/>
            <w:szCs w:val="24"/>
            <w:u w:val="single"/>
            <w:rtl w:val="0"/>
          </w:rPr>
          <w:t xml:space="preserve">https://thesai.org/Publications/ViewIssue?volume=16&amp;issue=11&amp;code=IJACSA</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Commodity Trading: A Comparative Simulation Study, accessed February 27, 2026, </w:t>
      </w:r>
      <w:hyperlink r:id="rId25">
        <w:r w:rsidDel="00000000" w:rsidR="00000000" w:rsidRPr="00000000">
          <w:rPr>
            <w:rFonts w:ascii="Google Sans" w:cs="Google Sans" w:eastAsia="Google Sans" w:hAnsi="Google Sans"/>
            <w:color w:val="0000ee"/>
            <w:sz w:val="24"/>
            <w:szCs w:val="24"/>
            <w:u w:val="single"/>
            <w:rtl w:val="0"/>
          </w:rPr>
          <w:t xml:space="preserve">https://thesai.org/Publications/ViewPaper?Volume=16&amp;Issue=11&amp;Code=IJACSA&amp;SerialNo=2</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Commodity Trading: A Comparative Simulation Study - ResearchGate, accessed February 27,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https://www.researchgate.net/publication/398236059_Agentic_AI_in_Commodity_Trading_A_Comparative_Simulation_Study</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Identity Governance 2026 - Omada, accessed February 27, 2026, </w:t>
      </w:r>
      <w:hyperlink r:id="rId27">
        <w:r w:rsidDel="00000000" w:rsidR="00000000" w:rsidRPr="00000000">
          <w:rPr>
            <w:rFonts w:ascii="Google Sans" w:cs="Google Sans" w:eastAsia="Google Sans" w:hAnsi="Google Sans"/>
            <w:color w:val="0000ee"/>
            <w:sz w:val="24"/>
            <w:szCs w:val="24"/>
            <w:u w:val="single"/>
            <w:rtl w:val="0"/>
          </w:rPr>
          <w:t xml:space="preserve">https://omadaidentity.com/wp-content/uploads/2026/02/State-of-Identity-Governance-2026.pdf</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LLM-Powered Security Test Generation: Oracles, Vulnerability Probes, and Adversarial Inputs - IEEE Computer Society, accessed February 27, 2026, </w:t>
      </w:r>
      <w:hyperlink r:id="rId28">
        <w:r w:rsidDel="00000000" w:rsidR="00000000" w:rsidRPr="00000000">
          <w:rPr>
            <w:rFonts w:ascii="Google Sans" w:cs="Google Sans" w:eastAsia="Google Sans" w:hAnsi="Google Sans"/>
            <w:color w:val="0000ee"/>
            <w:sz w:val="24"/>
            <w:szCs w:val="24"/>
            <w:u w:val="single"/>
            <w:rtl w:val="0"/>
          </w:rPr>
          <w:t xml:space="preserve">https://www.computer.org/csdl/magazine/co/2026/02/11370987/2dOhh5MzH1e</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Surprising Efficacy of LLMs for Penetration-Testing - arXiv, accessed February 27, 2026, </w:t>
      </w:r>
      <w:hyperlink r:id="rId29">
        <w:r w:rsidDel="00000000" w:rsidR="00000000" w:rsidRPr="00000000">
          <w:rPr>
            <w:rFonts w:ascii="Google Sans" w:cs="Google Sans" w:eastAsia="Google Sans" w:hAnsi="Google Sans"/>
            <w:color w:val="0000ee"/>
            <w:sz w:val="24"/>
            <w:szCs w:val="24"/>
            <w:u w:val="single"/>
            <w:rtl w:val="0"/>
          </w:rPr>
          <w:t xml:space="preserve">https://arxiv.org/html/2507.00829v1</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Ground-Truthing AI Energy Consumption: Validating CodeCarbon Against External Measurements - arXiv, accessed February 27, 2026, </w:t>
      </w:r>
      <w:hyperlink r:id="rId30">
        <w:r w:rsidDel="00000000" w:rsidR="00000000" w:rsidRPr="00000000">
          <w:rPr>
            <w:rFonts w:ascii="Google Sans" w:cs="Google Sans" w:eastAsia="Google Sans" w:hAnsi="Google Sans"/>
            <w:color w:val="0000ee"/>
            <w:sz w:val="24"/>
            <w:szCs w:val="24"/>
            <w:u w:val="single"/>
            <w:rtl w:val="0"/>
          </w:rPr>
          <w:t xml:space="preserve">https://arxiv.org/html/2509.22092v1</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CodeCarbon, accessed February 27, 2026, </w:t>
      </w:r>
      <w:hyperlink r:id="rId31">
        <w:r w:rsidDel="00000000" w:rsidR="00000000" w:rsidRPr="00000000">
          <w:rPr>
            <w:rFonts w:ascii="Google Sans" w:cs="Google Sans" w:eastAsia="Google Sans" w:hAnsi="Google Sans"/>
            <w:color w:val="0000ee"/>
            <w:sz w:val="24"/>
            <w:szCs w:val="24"/>
            <w:u w:val="single"/>
            <w:rtl w:val="0"/>
          </w:rPr>
          <w:t xml:space="preserve">https://codecarbon.io/</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Footprint of LLM Fine Tuning — A Case Study | by Kasper Groes Albin Ludvigsen, accessed February 27, 2026, </w:t>
      </w:r>
      <w:hyperlink r:id="rId32">
        <w:r w:rsidDel="00000000" w:rsidR="00000000" w:rsidRPr="00000000">
          <w:rPr>
            <w:rFonts w:ascii="Google Sans" w:cs="Google Sans" w:eastAsia="Google Sans" w:hAnsi="Google Sans"/>
            <w:color w:val="0000ee"/>
            <w:sz w:val="24"/>
            <w:szCs w:val="24"/>
            <w:u w:val="single"/>
            <w:rtl w:val="0"/>
          </w:rPr>
          <w:t xml:space="preserve">https://medium.com/data-science/carbon-footprint-of-llm-fine-tuning-a-case-study-7703afc716a9</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and Sustainable AI: Considering Energy Consumption in Automated Text Classification Evaluation Tasks, accessed February 27, 2026, </w:t>
      </w:r>
      <w:hyperlink r:id="rId33">
        <w:r w:rsidDel="00000000" w:rsidR="00000000" w:rsidRPr="00000000">
          <w:rPr>
            <w:rFonts w:ascii="Google Sans" w:cs="Google Sans" w:eastAsia="Google Sans" w:hAnsi="Google Sans"/>
            <w:color w:val="0000ee"/>
            <w:sz w:val="24"/>
            <w:szCs w:val="24"/>
            <w:u w:val="single"/>
            <w:rtl w:val="0"/>
          </w:rPr>
          <w:t xml:space="preserve">https://publikationen.bibliothek.kit.edu/1000180194/157938518</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Carbon Footprint of Artificial Intelligence - ResearchGate, accessed February 27,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https://www.researchgate.net/publication/372644408_The_Carbon_Footprint_of_Artificial_Intelligence</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Anamel: Children's Psychological and Mental Health Detection Application by Drawing Analysis Based on AI - The Science and Information (SAI) Organization, accessed February 27, 2026, </w:t>
      </w:r>
      <w:hyperlink r:id="rId35">
        <w:r w:rsidDel="00000000" w:rsidR="00000000" w:rsidRPr="00000000">
          <w:rPr>
            <w:rFonts w:ascii="Google Sans" w:cs="Google Sans" w:eastAsia="Google Sans" w:hAnsi="Google Sans"/>
            <w:color w:val="0000ee"/>
            <w:sz w:val="24"/>
            <w:szCs w:val="24"/>
            <w:u w:val="single"/>
            <w:rtl w:val="0"/>
          </w:rPr>
          <w:t xml:space="preserve">https://thesai.org/Publications/ViewPaper?Volume=16&amp;Issue=11&amp;Code=ijacsa&amp;SerialNo=7</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page - Agent-as-a-Judge - Hugging Face, accessed February 27, 2026, </w:t>
      </w:r>
      <w:hyperlink r:id="rId36">
        <w:r w:rsidDel="00000000" w:rsidR="00000000" w:rsidRPr="00000000">
          <w:rPr>
            <w:rFonts w:ascii="Google Sans" w:cs="Google Sans" w:eastAsia="Google Sans" w:hAnsi="Google Sans"/>
            <w:color w:val="0000ee"/>
            <w:sz w:val="24"/>
            <w:szCs w:val="24"/>
            <w:u w:val="single"/>
            <w:rtl w:val="0"/>
          </w:rPr>
          <w:t xml:space="preserve">https://huggingface.co/papers/2601.05111</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Large Language Models in the Software Development Lifecycle: Opportunities and Challenges - The Science and Information (SAI) Organization, accessed February 27, 2026, </w:t>
      </w:r>
      <w:hyperlink r:id="rId37">
        <w:r w:rsidDel="00000000" w:rsidR="00000000" w:rsidRPr="00000000">
          <w:rPr>
            <w:rFonts w:ascii="Google Sans" w:cs="Google Sans" w:eastAsia="Google Sans" w:hAnsi="Google Sans"/>
            <w:color w:val="0000ee"/>
            <w:sz w:val="24"/>
            <w:szCs w:val="24"/>
            <w:u w:val="single"/>
            <w:rtl w:val="0"/>
          </w:rPr>
          <w:t xml:space="preserve">https://thesai.org/Publications/ViewPaper?Volume=16&amp;Issue=11&amp;Code=IJACSA&amp;SerialNo=5</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Adaptation of Agentic AI - ResearchGate, accessed February 27,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https://www.researchgate.net/publication/398851148_Adaptation_of_Agentic_AI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601.01743" TargetMode="External"/><Relationship Id="rId22" Type="http://schemas.openxmlformats.org/officeDocument/2006/relationships/hyperlink" Target="https://www.frontiersin.org/journals/plant-science/articles/10.3389/fpls.2025.1706428/full" TargetMode="External"/><Relationship Id="rId21" Type="http://schemas.openxmlformats.org/officeDocument/2006/relationships/hyperlink" Target="https://www.capgemini.com/wp-content/uploads/2025/06/Agentic-Hyper-Personalization_6_11-1.pdf" TargetMode="External"/><Relationship Id="rId24" Type="http://schemas.openxmlformats.org/officeDocument/2006/relationships/hyperlink" Target="https://thesai.org/Publications/ViewIssue?volume=16&amp;issue=11&amp;code=IJACSA" TargetMode="External"/><Relationship Id="rId23" Type="http://schemas.openxmlformats.org/officeDocument/2006/relationships/hyperlink" Target="https://pmc.ncbi.nlm.nih.gov/articles/PMC128473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moonlight.io/en/review/on-the-surprising-efficacy-of-llms-for-penetration-testing" TargetMode="External"/><Relationship Id="rId26" Type="http://schemas.openxmlformats.org/officeDocument/2006/relationships/hyperlink" Target="https://www.researchgate.net/publication/398236059_Agentic_AI_in_Commodity_Trading_A_Comparative_Simulation_Study" TargetMode="External"/><Relationship Id="rId25" Type="http://schemas.openxmlformats.org/officeDocument/2006/relationships/hyperlink" Target="https://thesai.org/Publications/ViewPaper?Volume=16&amp;Issue=11&amp;Code=IJACSA&amp;SerialNo=2" TargetMode="External"/><Relationship Id="rId28" Type="http://schemas.openxmlformats.org/officeDocument/2006/relationships/hyperlink" Target="https://www.computer.org/csdl/magazine/co/2026/02/11370987/2dOhh5MzH1e" TargetMode="External"/><Relationship Id="rId27" Type="http://schemas.openxmlformats.org/officeDocument/2006/relationships/hyperlink" Target="https://omadaidentity.com/wp-content/uploads/2026/02/State-of-Identity-Governance-2026.pdf" TargetMode="External"/><Relationship Id="rId5" Type="http://schemas.openxmlformats.org/officeDocument/2006/relationships/styles" Target="styles.xml"/><Relationship Id="rId6" Type="http://schemas.openxmlformats.org/officeDocument/2006/relationships/hyperlink" Target="https://www.persistent.com/blogs/agentic-ai-ushering-in-the-new-era-of-autonomous-intelligence/" TargetMode="External"/><Relationship Id="rId29" Type="http://schemas.openxmlformats.org/officeDocument/2006/relationships/hyperlink" Target="https://arxiv.org/html/2507.00829v1" TargetMode="External"/><Relationship Id="rId7" Type="http://schemas.openxmlformats.org/officeDocument/2006/relationships/hyperlink" Target="https://arxiv.org/html/2512.16301v1" TargetMode="External"/><Relationship Id="rId8" Type="http://schemas.openxmlformats.org/officeDocument/2006/relationships/hyperlink" Target="https://arxiv.org/abs/2507.00829" TargetMode="External"/><Relationship Id="rId31" Type="http://schemas.openxmlformats.org/officeDocument/2006/relationships/hyperlink" Target="https://codecarbon.io/" TargetMode="External"/><Relationship Id="rId30" Type="http://schemas.openxmlformats.org/officeDocument/2006/relationships/hyperlink" Target="https://arxiv.org/html/2509.22092v1" TargetMode="External"/><Relationship Id="rId11" Type="http://schemas.openxmlformats.org/officeDocument/2006/relationships/hyperlink" Target="https://arxiv.org/abs/2601.22001" TargetMode="External"/><Relationship Id="rId33" Type="http://schemas.openxmlformats.org/officeDocument/2006/relationships/hyperlink" Target="https://publikationen.bibliothek.kit.edu/1000180194/157938518" TargetMode="External"/><Relationship Id="rId10" Type="http://schemas.openxmlformats.org/officeDocument/2006/relationships/hyperlink" Target="https://www.cognizant.com/en_us/services/documents/redefining-enterprise-application-testing-with-agentic-ai.pdf" TargetMode="External"/><Relationship Id="rId32" Type="http://schemas.openxmlformats.org/officeDocument/2006/relationships/hyperlink" Target="https://medium.com/data-science/carbon-footprint-of-llm-fine-tuning-a-case-study-7703afc716a9" TargetMode="External"/><Relationship Id="rId13" Type="http://schemas.openxmlformats.org/officeDocument/2006/relationships/hyperlink" Target="https://www.rd-alliance.org/wp-content/uploads/2026/01/RDA_Dec_Report_Final.pdf" TargetMode="External"/><Relationship Id="rId35" Type="http://schemas.openxmlformats.org/officeDocument/2006/relationships/hyperlink" Target="https://thesai.org/Publications/ViewPaper?Volume=16&amp;Issue=11&amp;Code=ijacsa&amp;SerialNo=7" TargetMode="External"/><Relationship Id="rId12" Type="http://schemas.openxmlformats.org/officeDocument/2006/relationships/hyperlink" Target="https://arxiv.org/html/2601.22001v1" TargetMode="External"/><Relationship Id="rId34" Type="http://schemas.openxmlformats.org/officeDocument/2006/relationships/hyperlink" Target="https://www.researchgate.net/publication/372644408_The_Carbon_Footprint_of_Artificial_Intelligence" TargetMode="External"/><Relationship Id="rId15" Type="http://schemas.openxmlformats.org/officeDocument/2006/relationships/hyperlink" Target="https://thesai.org/Publications/ViewPaper?Volume=16&amp;Issue=11&amp;Code=IJACSA&amp;SerialNo=6" TargetMode="External"/><Relationship Id="rId37" Type="http://schemas.openxmlformats.org/officeDocument/2006/relationships/hyperlink" Target="https://thesai.org/Publications/ViewPaper?Volume=16&amp;Issue=11&amp;Code=IJACSA&amp;SerialNo=5" TargetMode="External"/><Relationship Id="rId14" Type="http://schemas.openxmlformats.org/officeDocument/2006/relationships/hyperlink" Target="https://arxiv.org/html/2601.01743v1" TargetMode="External"/><Relationship Id="rId36" Type="http://schemas.openxmlformats.org/officeDocument/2006/relationships/hyperlink" Target="https://huggingface.co/papers/2601.05111" TargetMode="External"/><Relationship Id="rId17" Type="http://schemas.openxmlformats.org/officeDocument/2006/relationships/hyperlink" Target="https://www.nokia.com/asset/f/215133/" TargetMode="External"/><Relationship Id="rId16" Type="http://schemas.openxmlformats.org/officeDocument/2006/relationships/hyperlink" Target="https://arxiv.org/pdf/2601.22001" TargetMode="External"/><Relationship Id="rId38" Type="http://schemas.openxmlformats.org/officeDocument/2006/relationships/hyperlink" Target="https://www.researchgate.net/publication/398851148_Adaptation_of_Agentic_AI" TargetMode="External"/><Relationship Id="rId19" Type="http://schemas.openxmlformats.org/officeDocument/2006/relationships/hyperlink" Target="https://www.frontiersin.org/journals/medicine/articles/10.3389/fmed.2025.1753443/full" TargetMode="External"/><Relationship Id="rId18" Type="http://schemas.openxmlformats.org/officeDocument/2006/relationships/hyperlink" Target="https://pmc.ncbi.nlm.nih.gov/articles/PMC128906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