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A252" w14:textId="77777777" w:rsidR="00572561" w:rsidRDefault="00572561" w:rsidP="00572561">
      <w:pPr>
        <w:jc w:val="center"/>
        <w:rPr>
          <w:sz w:val="36"/>
          <w:szCs w:val="36"/>
        </w:rPr>
      </w:pPr>
    </w:p>
    <w:p w14:paraId="7320DB90" w14:textId="0FE0A4B0" w:rsidR="000A7425" w:rsidRPr="00572561" w:rsidRDefault="00572561" w:rsidP="00572561">
      <w:pPr>
        <w:jc w:val="center"/>
        <w:rPr>
          <w:b/>
          <w:bCs/>
          <w:sz w:val="52"/>
          <w:szCs w:val="52"/>
        </w:rPr>
      </w:pPr>
      <w:r w:rsidRPr="00572561">
        <w:rPr>
          <w:b/>
          <w:bCs/>
          <w:sz w:val="52"/>
          <w:szCs w:val="52"/>
        </w:rPr>
        <w:t>Boas Práticas</w:t>
      </w:r>
    </w:p>
    <w:p w14:paraId="165D2EFF" w14:textId="77777777" w:rsidR="00572561" w:rsidRDefault="00572561"/>
    <w:p w14:paraId="12E04B59" w14:textId="5BE4AED8" w:rsidR="00572561" w:rsidRDefault="00572561">
      <w:r>
        <w:t>Documento provisório, a</w:t>
      </w:r>
      <w:r w:rsidR="0050497E">
        <w:t>tualizado a</w:t>
      </w:r>
      <w:r>
        <w:t xml:space="preserve"> 6 de Junho de 2026.</w:t>
      </w:r>
    </w:p>
    <w:p w14:paraId="2EA7C7ED" w14:textId="77777777" w:rsidR="00572561" w:rsidRDefault="00572561"/>
    <w:p w14:paraId="1F627174" w14:textId="77777777" w:rsidR="00572561" w:rsidRDefault="00572561"/>
    <w:p w14:paraId="0D43D4EF" w14:textId="3603F4AB" w:rsidR="00572561" w:rsidRPr="000B262A" w:rsidRDefault="00572561" w:rsidP="00572561">
      <w:pPr>
        <w:jc w:val="center"/>
        <w:rPr>
          <w:b/>
          <w:bCs/>
          <w:color w:val="E97132" w:themeColor="accent2"/>
          <w:sz w:val="32"/>
          <w:szCs w:val="32"/>
        </w:rPr>
      </w:pPr>
      <w:r w:rsidRPr="000B262A">
        <w:rPr>
          <w:b/>
          <w:bCs/>
          <w:color w:val="E97132" w:themeColor="accent2"/>
          <w:sz w:val="32"/>
          <w:szCs w:val="32"/>
        </w:rPr>
        <w:t>Boas práticas para agentes de IA</w:t>
      </w:r>
    </w:p>
    <w:p w14:paraId="5C405F2C" w14:textId="77777777" w:rsidR="00572561" w:rsidRDefault="00572561"/>
    <w:p w14:paraId="302BF434" w14:textId="2CC917D7" w:rsidR="00572561" w:rsidRPr="00BB47CA" w:rsidRDefault="0077448D">
      <w:pPr>
        <w:rPr>
          <w:b/>
          <w:bCs/>
          <w:sz w:val="28"/>
          <w:szCs w:val="28"/>
        </w:rPr>
      </w:pPr>
      <w:r w:rsidRPr="00BB47CA">
        <w:rPr>
          <w:b/>
          <w:bCs/>
          <w:sz w:val="28"/>
          <w:szCs w:val="28"/>
        </w:rPr>
        <w:t>Referidas no artigo proposta a Quatic 2026:</w:t>
      </w:r>
    </w:p>
    <w:p w14:paraId="4F27F12A" w14:textId="77777777" w:rsidR="00C26B7F" w:rsidRDefault="00C26B7F"/>
    <w:p w14:paraId="67D6FA86" w14:textId="32BB23E7" w:rsidR="0077448D" w:rsidRPr="0077448D" w:rsidRDefault="0077448D">
      <w:pPr>
        <w:rPr>
          <w:lang w:val="en-US"/>
        </w:rPr>
      </w:pPr>
      <w:r w:rsidRPr="0077448D">
        <w:rPr>
          <w:lang w:val="en-US"/>
        </w:rPr>
        <w:t xml:space="preserve">R1. Before writing an AI agent, you shall understand and identify its description, objectives, requirements, tasks, tools and expected results [14][38]; </w:t>
      </w:r>
    </w:p>
    <w:p w14:paraId="211499F8" w14:textId="77777777" w:rsidR="0077448D" w:rsidRDefault="0077448D">
      <w:pPr>
        <w:rPr>
          <w:lang w:val="en-US"/>
        </w:rPr>
      </w:pPr>
      <w:r w:rsidRPr="0077448D">
        <w:rPr>
          <w:lang w:val="en-US"/>
        </w:rPr>
        <w:t xml:space="preserve">R2. An AI agent shall start with a meaningful identification [37], that can be structured through a name, description and intent [24]; </w:t>
      </w:r>
    </w:p>
    <w:p w14:paraId="3A8501D0" w14:textId="77777777" w:rsidR="0077448D" w:rsidRDefault="0077448D">
      <w:pPr>
        <w:rPr>
          <w:lang w:val="en-US"/>
        </w:rPr>
      </w:pPr>
      <w:r w:rsidRPr="0077448D">
        <w:rPr>
          <w:lang w:val="en-US"/>
        </w:rPr>
        <w:t xml:space="preserve">R3. The chosen prompting technique shall be adapted to the application domain [51] together with proper safety and legal procedures, e.g. in traffic or defense [13], finance [21], and healthcare [13][21][41]; </w:t>
      </w:r>
    </w:p>
    <w:p w14:paraId="63F7B2A0" w14:textId="014AEEE3" w:rsidR="0077448D" w:rsidRDefault="0077448D">
      <w:pPr>
        <w:rPr>
          <w:lang w:val="en-US"/>
        </w:rPr>
      </w:pPr>
      <w:r w:rsidRPr="0077448D">
        <w:rPr>
          <w:lang w:val="en-US"/>
        </w:rPr>
        <w:t xml:space="preserve">R4. The prompt pattern shall be rigorous, using direct speech (as this speech style is informative) [35][37], and structured in sections, eliciting objectives, tools and requirements [37][38]; </w:t>
      </w:r>
    </w:p>
    <w:p w14:paraId="1BE29AB6" w14:textId="68BEF85D" w:rsidR="0077448D" w:rsidRDefault="0077448D">
      <w:pPr>
        <w:rPr>
          <w:lang w:val="en-US"/>
        </w:rPr>
      </w:pPr>
      <w:r w:rsidRPr="0077448D">
        <w:rPr>
          <w:lang w:val="en-US"/>
        </w:rPr>
        <w:t xml:space="preserve">R5. A possible sequence of sections shall be: name, description, objectives, requirements, tasks, questioning enforcement, hallucination detection, expected results, available knowledge, tool identification and environmental sustainability; </w:t>
      </w:r>
    </w:p>
    <w:p w14:paraId="00302164" w14:textId="77777777" w:rsidR="0077448D" w:rsidRDefault="0077448D">
      <w:pPr>
        <w:rPr>
          <w:lang w:val="en-US"/>
        </w:rPr>
      </w:pPr>
      <w:r w:rsidRPr="0077448D">
        <w:rPr>
          <w:lang w:val="en-US"/>
        </w:rPr>
        <w:t xml:space="preserve">R6. The first approach and draft prompt shall be produced with the help of Gen AI tools i.e. through a meta-prompt, and be prepared for AI agents’ changing objectives [37]; </w:t>
      </w:r>
    </w:p>
    <w:p w14:paraId="399E6855" w14:textId="034EDAA2" w:rsidR="00C26B7F" w:rsidRPr="0077448D" w:rsidRDefault="0077448D">
      <w:pPr>
        <w:rPr>
          <w:lang w:val="en-US"/>
        </w:rPr>
      </w:pPr>
      <w:r w:rsidRPr="0077448D">
        <w:rPr>
          <w:lang w:val="en-US"/>
        </w:rPr>
        <w:t>R7. There shall be approaches to overcome the limits of LLMs; For example, LLMs’ context windows are too small to handle complete websites, leading to shallow reasoning and hallucinations [48]. This shall be handled with the creation of a llms.txt file with LLMs’ guiding content, such as brief background information, written in markdown language [17].</w:t>
      </w:r>
    </w:p>
    <w:p w14:paraId="096958CD" w14:textId="77777777" w:rsidR="00C26B7F" w:rsidRPr="0077448D" w:rsidRDefault="00C26B7F">
      <w:pPr>
        <w:rPr>
          <w:lang w:val="en-US"/>
        </w:rPr>
      </w:pPr>
    </w:p>
    <w:p w14:paraId="3F16C0F9" w14:textId="77777777" w:rsidR="00C26B7F" w:rsidRPr="0077448D" w:rsidRDefault="00C26B7F">
      <w:pPr>
        <w:rPr>
          <w:lang w:val="en-US"/>
        </w:rPr>
      </w:pPr>
    </w:p>
    <w:p w14:paraId="037D9389" w14:textId="77777777" w:rsidR="00C26B7F" w:rsidRPr="0077448D" w:rsidRDefault="00C26B7F">
      <w:pPr>
        <w:rPr>
          <w:lang w:val="en-US"/>
        </w:rPr>
      </w:pPr>
    </w:p>
    <w:p w14:paraId="5000C9A3" w14:textId="77777777" w:rsidR="00572561" w:rsidRPr="0077448D" w:rsidRDefault="00572561">
      <w:pPr>
        <w:rPr>
          <w:lang w:val="en-US"/>
        </w:rPr>
      </w:pPr>
    </w:p>
    <w:p w14:paraId="5F1018DA" w14:textId="77777777" w:rsidR="0077448D" w:rsidRDefault="0077448D">
      <w:pPr>
        <w:rPr>
          <w:lang w:val="en-US"/>
        </w:rPr>
      </w:pPr>
      <w:r w:rsidRPr="0077448D">
        <w:rPr>
          <w:lang w:val="en-US"/>
        </w:rPr>
        <w:lastRenderedPageBreak/>
        <w:t xml:space="preserve">R8. An AI agent shall consider a human-in-the-loop approach, e.g., for evaluations and domain knowledge requirements [38]; </w:t>
      </w:r>
    </w:p>
    <w:p w14:paraId="29E4119D" w14:textId="12B31EC3" w:rsidR="0077448D" w:rsidRDefault="0077448D">
      <w:pPr>
        <w:rPr>
          <w:lang w:val="en-US"/>
        </w:rPr>
      </w:pPr>
      <w:r w:rsidRPr="0077448D">
        <w:rPr>
          <w:lang w:val="en-US"/>
        </w:rPr>
        <w:t xml:space="preserve">R9. An AI agent shall include guardrails and exception handling, e.g. in industrial production [38]; </w:t>
      </w:r>
    </w:p>
    <w:p w14:paraId="5194186D" w14:textId="7CAFE771" w:rsidR="0077448D" w:rsidRDefault="0077448D">
      <w:pPr>
        <w:rPr>
          <w:lang w:val="en-US"/>
        </w:rPr>
      </w:pPr>
      <w:r w:rsidRPr="0077448D">
        <w:rPr>
          <w:lang w:val="en-US"/>
        </w:rPr>
        <w:t xml:space="preserve">R10. An AI agent shall include mechanisms for the detection of hallucinations, that can be classified as intrinsic or extrinsic, through automatic data validation or human feedback [24]; </w:t>
      </w:r>
    </w:p>
    <w:p w14:paraId="1493C6A8" w14:textId="77777777" w:rsidR="0077448D" w:rsidRDefault="0077448D">
      <w:pPr>
        <w:rPr>
          <w:lang w:val="en-US"/>
        </w:rPr>
      </w:pPr>
      <w:r w:rsidRPr="0077448D">
        <w:rPr>
          <w:lang w:val="en-US"/>
        </w:rPr>
        <w:t xml:space="preserve">R11. You shall adopt an iteration approach due to the evolving reality [16][37] and the positive impacts of training LLMs, using a cycle of test-then-improvements followed by new tests; </w:t>
      </w:r>
    </w:p>
    <w:p w14:paraId="5B93ED5A" w14:textId="0438D0E9" w:rsidR="00572561" w:rsidRPr="0077448D" w:rsidRDefault="0077448D">
      <w:pPr>
        <w:rPr>
          <w:lang w:val="en-US"/>
        </w:rPr>
      </w:pPr>
      <w:r w:rsidRPr="0077448D">
        <w:rPr>
          <w:lang w:val="en-US"/>
        </w:rPr>
        <w:t>R12. You shall add procedures, such as the test of agents [24][25] and the size reduction of specification prompts, to increase the efficiency of AI agents and reduce their environmental impact.</w:t>
      </w:r>
    </w:p>
    <w:p w14:paraId="2C9551BD" w14:textId="77777777" w:rsidR="00572561" w:rsidRPr="0077448D" w:rsidRDefault="00572561">
      <w:pPr>
        <w:rPr>
          <w:lang w:val="en-US"/>
        </w:rPr>
      </w:pPr>
    </w:p>
    <w:p w14:paraId="40E62959" w14:textId="5543B6DB" w:rsidR="00572561" w:rsidRDefault="00BB47CA">
      <w:r w:rsidRPr="00BB47CA">
        <w:t>Referências no artigo.</w:t>
      </w:r>
    </w:p>
    <w:p w14:paraId="6153CFD4" w14:textId="77777777" w:rsidR="004B0A2C" w:rsidRDefault="004B0A2C"/>
    <w:p w14:paraId="59BBDF16" w14:textId="69D0AD33" w:rsidR="004B0A2C" w:rsidRDefault="004B0A2C">
      <w:r>
        <w:t>Nota:</w:t>
      </w:r>
    </w:p>
    <w:p w14:paraId="5FA479ED" w14:textId="2F8E1EFE" w:rsidR="004B0A2C" w:rsidRPr="00BB47CA" w:rsidRDefault="004B0A2C">
      <w:r>
        <w:t>São os agentes de IA suportados por LLM, em agência de IA, que podem alucinar.</w:t>
      </w:r>
    </w:p>
    <w:p w14:paraId="4D421B36" w14:textId="77777777" w:rsidR="00572561" w:rsidRPr="00BB47CA" w:rsidRDefault="00572561"/>
    <w:p w14:paraId="026F452E" w14:textId="68B87E59" w:rsidR="00BB47CA" w:rsidRPr="00BB47CA" w:rsidRDefault="00BB47CA" w:rsidP="00BB47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Boas práticas adicionais</w:t>
      </w:r>
      <w:r w:rsidR="004B0A2C">
        <w:rPr>
          <w:b/>
          <w:bCs/>
          <w:sz w:val="28"/>
          <w:szCs w:val="28"/>
        </w:rPr>
        <w:t xml:space="preserve"> para um agente de IA</w:t>
      </w:r>
      <w:r w:rsidRPr="00BB47CA">
        <w:rPr>
          <w:b/>
          <w:bCs/>
          <w:sz w:val="28"/>
          <w:szCs w:val="28"/>
        </w:rPr>
        <w:t>:</w:t>
      </w:r>
    </w:p>
    <w:p w14:paraId="27D4EB82" w14:textId="77777777" w:rsidR="00572561" w:rsidRDefault="00572561"/>
    <w:p w14:paraId="660A5159" w14:textId="1BD9812F" w:rsidR="00BB47CA" w:rsidRDefault="00BB47CA">
      <w:r>
        <w:t>R13. A inclusão de um pedido de relatório de transparência.</w:t>
      </w:r>
    </w:p>
    <w:p w14:paraId="05887785" w14:textId="77777777" w:rsidR="00BB47CA" w:rsidRDefault="00BB47CA"/>
    <w:p w14:paraId="11D592C4" w14:textId="77777777" w:rsidR="00BB47CA" w:rsidRDefault="00BB47CA"/>
    <w:p w14:paraId="4A5ABC55" w14:textId="31B4376D" w:rsidR="004B0A2C" w:rsidRPr="00BB47CA" w:rsidRDefault="004B0A2C" w:rsidP="004B0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Boas práticas adicionais para </w:t>
      </w:r>
      <w:r>
        <w:rPr>
          <w:b/>
          <w:bCs/>
          <w:sz w:val="28"/>
          <w:szCs w:val="28"/>
        </w:rPr>
        <w:t>SMA de</w:t>
      </w:r>
      <w:r>
        <w:rPr>
          <w:b/>
          <w:bCs/>
          <w:sz w:val="28"/>
          <w:szCs w:val="28"/>
        </w:rPr>
        <w:t xml:space="preserve"> agente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de IA</w:t>
      </w:r>
      <w:r w:rsidRPr="00BB47CA">
        <w:rPr>
          <w:b/>
          <w:bCs/>
          <w:sz w:val="28"/>
          <w:szCs w:val="28"/>
        </w:rPr>
        <w:t>:</w:t>
      </w:r>
    </w:p>
    <w:p w14:paraId="55FF2C14" w14:textId="77777777" w:rsidR="00BB47CA" w:rsidRDefault="00BB47CA"/>
    <w:p w14:paraId="61C45E62" w14:textId="12AB638D" w:rsidR="004B0A2C" w:rsidRDefault="004B0A2C">
      <w:r>
        <w:t>R14. Utilização, quando possível e se pertinente, de protocolos padrão como MCP e A2A.</w:t>
      </w:r>
    </w:p>
    <w:p w14:paraId="6E18B965" w14:textId="77777777" w:rsidR="004B0A2C" w:rsidRDefault="004B0A2C"/>
    <w:p w14:paraId="35621E60" w14:textId="7269958C" w:rsidR="00685A27" w:rsidRDefault="00442544">
      <w:r>
        <w:t>Referências:</w:t>
      </w:r>
    </w:p>
    <w:p w14:paraId="0B1CAF4C" w14:textId="77777777" w:rsidR="00B97E52" w:rsidRPr="004336F4" w:rsidRDefault="00B97E52" w:rsidP="00B97E52">
      <w:pPr>
        <w:jc w:val="both"/>
        <w:rPr>
          <w:rFonts w:ascii="Arial" w:hAnsi="Arial" w:cs="Arial"/>
        </w:rPr>
      </w:pPr>
      <w:r w:rsidRPr="00B97E52">
        <w:rPr>
          <w:rFonts w:ascii="Arial" w:hAnsi="Arial" w:cs="Arial"/>
        </w:rPr>
        <w:t xml:space="preserve">MCP (2026). What is the Model Context Protocol (MCP)? </w:t>
      </w:r>
      <w:r w:rsidRPr="004336F4">
        <w:rPr>
          <w:rFonts w:ascii="Arial" w:hAnsi="Arial" w:cs="Arial"/>
        </w:rPr>
        <w:t>Disponível em: https://modelcontextprotocol.io/docs/getting-started/intro</w:t>
      </w:r>
    </w:p>
    <w:p w14:paraId="0C1EB83C" w14:textId="77777777" w:rsidR="007E298A" w:rsidRPr="004336F4" w:rsidRDefault="007E298A" w:rsidP="007E298A">
      <w:pPr>
        <w:jc w:val="both"/>
        <w:rPr>
          <w:rFonts w:ascii="Arial" w:hAnsi="Arial" w:cs="Arial"/>
        </w:rPr>
      </w:pPr>
      <w:r w:rsidRPr="004336F4">
        <w:rPr>
          <w:rFonts w:ascii="Arial" w:hAnsi="Arial" w:cs="Arial"/>
        </w:rPr>
        <w:t>A2A (2026). Agent2Agent (A2A) Protocol. Disponível em: https://a2a-protocol.org/latest/#get-started-with-a2a</w:t>
      </w:r>
    </w:p>
    <w:p w14:paraId="0AA41308" w14:textId="77777777" w:rsidR="00BB47CA" w:rsidRDefault="00BB47CA"/>
    <w:p w14:paraId="2F33A466" w14:textId="39FF8D18" w:rsidR="000B262A" w:rsidRPr="000B262A" w:rsidRDefault="000B262A" w:rsidP="000B262A">
      <w:pPr>
        <w:jc w:val="center"/>
        <w:rPr>
          <w:b/>
          <w:bCs/>
          <w:color w:val="E97132" w:themeColor="accent2"/>
          <w:sz w:val="32"/>
          <w:szCs w:val="32"/>
        </w:rPr>
      </w:pPr>
      <w:r w:rsidRPr="000B262A">
        <w:rPr>
          <w:b/>
          <w:bCs/>
          <w:color w:val="E97132" w:themeColor="accent2"/>
          <w:sz w:val="32"/>
          <w:szCs w:val="32"/>
        </w:rPr>
        <w:lastRenderedPageBreak/>
        <w:t xml:space="preserve">Boas práticas </w:t>
      </w:r>
      <w:r>
        <w:rPr>
          <w:b/>
          <w:bCs/>
          <w:color w:val="E97132" w:themeColor="accent2"/>
          <w:sz w:val="32"/>
          <w:szCs w:val="32"/>
        </w:rPr>
        <w:t xml:space="preserve">exclusivas </w:t>
      </w:r>
      <w:r w:rsidRPr="000B262A">
        <w:rPr>
          <w:b/>
          <w:bCs/>
          <w:color w:val="E97132" w:themeColor="accent2"/>
          <w:sz w:val="32"/>
          <w:szCs w:val="32"/>
        </w:rPr>
        <w:t xml:space="preserve">para </w:t>
      </w:r>
      <w:r>
        <w:rPr>
          <w:b/>
          <w:bCs/>
          <w:color w:val="E97132" w:themeColor="accent2"/>
          <w:sz w:val="32"/>
          <w:szCs w:val="32"/>
        </w:rPr>
        <w:t>agência</w:t>
      </w:r>
      <w:r w:rsidRPr="000B262A">
        <w:rPr>
          <w:b/>
          <w:bCs/>
          <w:color w:val="E97132" w:themeColor="accent2"/>
          <w:sz w:val="32"/>
          <w:szCs w:val="32"/>
        </w:rPr>
        <w:t xml:space="preserve"> de IA</w:t>
      </w:r>
      <w:r>
        <w:rPr>
          <w:b/>
          <w:bCs/>
          <w:color w:val="E97132" w:themeColor="accent2"/>
          <w:sz w:val="32"/>
          <w:szCs w:val="32"/>
        </w:rPr>
        <w:t xml:space="preserve"> mesmo que não sobreposta com SMA</w:t>
      </w:r>
    </w:p>
    <w:p w14:paraId="10368DEE" w14:textId="77777777" w:rsidR="000B262A" w:rsidRDefault="000B262A"/>
    <w:p w14:paraId="5FA62E07" w14:textId="77777777" w:rsidR="000B262A" w:rsidRDefault="000B262A"/>
    <w:p w14:paraId="1CD2D539" w14:textId="77777777" w:rsidR="000B262A" w:rsidRDefault="000B262A"/>
    <w:p w14:paraId="75D0D1BF" w14:textId="262EE542" w:rsidR="000B262A" w:rsidRDefault="000B262A">
      <w:r>
        <w:t>R15. Controlo de consumo de eletricidade, tal como defendido na solução identificada como Proposta 1 (i.e. consumo de eletricidade comparado com consumos padrão).</w:t>
      </w:r>
    </w:p>
    <w:p w14:paraId="409BF47F" w14:textId="77777777" w:rsidR="000B262A" w:rsidRDefault="000B262A"/>
    <w:p w14:paraId="4CD51F3A" w14:textId="2773598B" w:rsidR="000B262A" w:rsidRDefault="000B262A">
      <w:r>
        <w:t>R16. Possível utilização de alucinações</w:t>
      </w:r>
      <w:r>
        <w:t xml:space="preserve">, tal como defendido na solução identificada como Proposta </w:t>
      </w:r>
      <w:r>
        <w:t>2</w:t>
      </w:r>
      <w:r>
        <w:t xml:space="preserve"> (i.e. </w:t>
      </w:r>
      <w:r>
        <w:t>como sugestões de trabalho futuro ou mesmo como dado de entrada para um trabalho subsequente, sempre sujeito a avaliação científica prévia rigorosa</w:t>
      </w:r>
      <w:r>
        <w:t>).</w:t>
      </w:r>
    </w:p>
    <w:p w14:paraId="73ED5054" w14:textId="77777777" w:rsidR="000B262A" w:rsidRDefault="000B262A"/>
    <w:p w14:paraId="24E2E338" w14:textId="77777777" w:rsidR="000B262A" w:rsidRDefault="000B262A"/>
    <w:p w14:paraId="17F6CA2B" w14:textId="77777777" w:rsidR="00DB2278" w:rsidRPr="00BB47CA" w:rsidRDefault="00DB2278"/>
    <w:sectPr w:rsidR="00DB2278" w:rsidRPr="00BB4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37"/>
    <w:rsid w:val="000A7425"/>
    <w:rsid w:val="000B262A"/>
    <w:rsid w:val="002C239E"/>
    <w:rsid w:val="00442544"/>
    <w:rsid w:val="004B0A2C"/>
    <w:rsid w:val="0050497E"/>
    <w:rsid w:val="00572561"/>
    <w:rsid w:val="00685A27"/>
    <w:rsid w:val="006D2082"/>
    <w:rsid w:val="0077448D"/>
    <w:rsid w:val="007E298A"/>
    <w:rsid w:val="008A3C38"/>
    <w:rsid w:val="00932137"/>
    <w:rsid w:val="00B97E52"/>
    <w:rsid w:val="00BB47CA"/>
    <w:rsid w:val="00C26B7F"/>
    <w:rsid w:val="00D5496D"/>
    <w:rsid w:val="00DB2278"/>
    <w:rsid w:val="00F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64F02"/>
  <w15:chartTrackingRefBased/>
  <w15:docId w15:val="{6457D4AE-2907-4C87-861B-5F5EB5DD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3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3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32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3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32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3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3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3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3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32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32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32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32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321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32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321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32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32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3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3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3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3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3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32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1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32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32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321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32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27</cp:revision>
  <dcterms:created xsi:type="dcterms:W3CDTF">2026-06-06T17:15:00Z</dcterms:created>
  <dcterms:modified xsi:type="dcterms:W3CDTF">2026-06-06T17:37:00Z</dcterms:modified>
</cp:coreProperties>
</file>