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/>
        </w:rPr>
      </w:pPr>
      <w:bookmarkStart w:id="0" w:name="_GoBack"/>
      <w:bookmarkEnd w:id="0"/>
      <w:r>
        <w:t>军事科学</w:t>
      </w:r>
      <w:r>
        <w:rPr>
          <w:rFonts w:hint="eastAsia"/>
        </w:rPr>
        <w:t xml:space="preserve"> 军事思想 军事学术 人民战争 积极防御 消极防御 导弹 制导炸弹 制导炮弹 电子对抗技术 无线电通信对抗 雷达对抗 国际战略格局 国际战略力量 国际行为主体 周边安全环境 威胁分析 国防动员 武装力量动员 人民防空动员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军事科学的任务 军事科学的主要功能 毛泽东军事思想的基本内容 毛泽东人民战争思想的基本理论观点 实行人民战争的主要原则和方法 制导技术的种类 精确制导武器的主要种类 精确制导武器的发展趋势 电子对抗在战争中的作为 电子对抗的范围 信息化战争的主要特征 信息化战争的发展趋势 信息化战争对国防建设的新要求 国防动员的意义 国防动员的分类和内容  国防动员的要求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论述的主要观点</w:t>
      </w:r>
    </w:p>
    <w:p>
      <w:pPr/>
      <w:r>
        <w:rPr>
          <w:rFonts w:hint="eastAsia"/>
        </w:rPr>
        <w:t>战争与政治的关系 安全环境威胁理论分析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CB3"/>
    <w:rsid w:val="00023110"/>
    <w:rsid w:val="000B3E74"/>
    <w:rsid w:val="000C4A46"/>
    <w:rsid w:val="001B3232"/>
    <w:rsid w:val="003075C7"/>
    <w:rsid w:val="003F22A4"/>
    <w:rsid w:val="008E1CB3"/>
    <w:rsid w:val="00D07C9C"/>
    <w:rsid w:val="6E583AA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279</Characters>
  <Lines>2</Lines>
  <Paragraphs>1</Paragraphs>
  <TotalTime>0</TotalTime>
  <ScaleCrop>false</ScaleCrop>
  <LinksUpToDate>false</LinksUpToDate>
  <CharactersWithSpaces>326</CharactersWithSpaces>
  <Application>WPS Office_10.1.0.5400_F1E327BC-269C-435d-A152-05C5408002CA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2016-01-02T11:31:00Z</dcterms:created>
  <dc:creator>wei</dc:creator>
  <cp:lastModifiedBy>win8</cp:lastModifiedBy>
  <dcterms:modified xsi:type="dcterms:W3CDTF">2016-01-05T16:27:46Z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