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1B690" w14:textId="745FEC9D" w:rsidR="00BC0106" w:rsidRPr="003626B9" w:rsidRDefault="00BC0106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</w:rPr>
      </w:pPr>
      <w:r w:rsidRPr="003626B9">
        <w:rPr>
          <w:b/>
          <w:sz w:val="32"/>
          <w:szCs w:val="32"/>
        </w:rPr>
        <w:t xml:space="preserve">1. </w:t>
      </w:r>
      <w:hyperlink r:id="rId7" w:history="1">
        <w:r w:rsidR="00683D34" w:rsidRPr="003626B9">
          <w:rPr>
            <w:rStyle w:val="Hyperlink"/>
            <w:b/>
            <w:color w:val="auto"/>
            <w:sz w:val="32"/>
            <w:szCs w:val="32"/>
            <w:u w:val="none"/>
          </w:rPr>
          <w:t>Ознакомление со структурой и организацией работы учреждения</w:t>
        </w:r>
      </w:hyperlink>
    </w:p>
    <w:p w14:paraId="00B56F29" w14:textId="77777777" w:rsidR="00BC0106" w:rsidRPr="003626B9" w:rsidRDefault="00BC0106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Банк может осуществлять следующие банковские операции:</w:t>
      </w:r>
    </w:p>
    <w:p w14:paraId="4B7617E3" w14:textId="77777777" w:rsidR="00BC0106" w:rsidRPr="00DF776D" w:rsidRDefault="00BC0106" w:rsidP="00DF776D">
      <w:pPr>
        <w:pStyle w:val="ListParagraph"/>
        <w:numPr>
          <w:ilvl w:val="0"/>
          <w:numId w:val="41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привлекать денежные средства физических и юридических лиц во вклады (депозиты) до востребования и на определенный срок;</w:t>
      </w:r>
    </w:p>
    <w:p w14:paraId="0C7F4ED0" w14:textId="77777777" w:rsidR="00BC0106" w:rsidRPr="00DF776D" w:rsidRDefault="00BC0106" w:rsidP="00DF776D">
      <w:pPr>
        <w:pStyle w:val="ListParagraph"/>
        <w:numPr>
          <w:ilvl w:val="0"/>
          <w:numId w:val="41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размещать привлеченные средства от своего имени и за свой счет, предоставлять кредиты;</w:t>
      </w:r>
    </w:p>
    <w:p w14:paraId="0AFF3D5C" w14:textId="77777777" w:rsidR="00BC0106" w:rsidRPr="00DF776D" w:rsidRDefault="00BC0106" w:rsidP="00DF776D">
      <w:pPr>
        <w:pStyle w:val="ListParagraph"/>
        <w:numPr>
          <w:ilvl w:val="0"/>
          <w:numId w:val="41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открывать и вести банковские счета физических и юридических лиц, в том числе и иностранных;</w:t>
      </w:r>
    </w:p>
    <w:p w14:paraId="7CE1A3F2" w14:textId="2257E614" w:rsidR="00BC0106" w:rsidRPr="00DF776D" w:rsidRDefault="00BC0106" w:rsidP="00DF776D">
      <w:pPr>
        <w:pStyle w:val="ListParagraph"/>
        <w:numPr>
          <w:ilvl w:val="0"/>
          <w:numId w:val="41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осуществлять расчеты по поручению физических и юридических лиц;</w:t>
      </w:r>
    </w:p>
    <w:p w14:paraId="775B7D96" w14:textId="77777777" w:rsidR="00BC0106" w:rsidRPr="00DF776D" w:rsidRDefault="00BC0106" w:rsidP="00DF776D">
      <w:pPr>
        <w:pStyle w:val="ListParagraph"/>
        <w:numPr>
          <w:ilvl w:val="0"/>
          <w:numId w:val="41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инкассировать наличные денежные средства, векселя, платежные и расчетные документы и осуществлять кассовое обслуживание физических и юридических лиц;</w:t>
      </w:r>
    </w:p>
    <w:p w14:paraId="0BEDDB4E" w14:textId="77777777" w:rsidR="00BC0106" w:rsidRPr="00DF776D" w:rsidRDefault="00BC0106" w:rsidP="00DF776D">
      <w:pPr>
        <w:pStyle w:val="ListParagraph"/>
        <w:numPr>
          <w:ilvl w:val="0"/>
          <w:numId w:val="41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покупать и продавать иностранную валюту в наличной и безналичной формах;</w:t>
      </w:r>
    </w:p>
    <w:p w14:paraId="3F0303E5" w14:textId="77777777" w:rsidR="00BC0106" w:rsidRPr="00DF776D" w:rsidRDefault="00BC0106" w:rsidP="00DF776D">
      <w:pPr>
        <w:pStyle w:val="ListParagraph"/>
        <w:numPr>
          <w:ilvl w:val="0"/>
          <w:numId w:val="41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привлекать во вклады и размещать драгоценные металлы при наличии соответствующей лицензии;</w:t>
      </w:r>
    </w:p>
    <w:p w14:paraId="71B949BF" w14:textId="77777777" w:rsidR="00BC0106" w:rsidRPr="00DF776D" w:rsidRDefault="00BC0106" w:rsidP="00DF776D">
      <w:pPr>
        <w:pStyle w:val="ListParagraph"/>
        <w:numPr>
          <w:ilvl w:val="0"/>
          <w:numId w:val="41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выдавать банковские гарантии;</w:t>
      </w:r>
    </w:p>
    <w:p w14:paraId="6C4F1141" w14:textId="77777777" w:rsidR="00BC0106" w:rsidRPr="00DF776D" w:rsidRDefault="00BC0106" w:rsidP="00DF776D">
      <w:pPr>
        <w:pStyle w:val="ListParagraph"/>
        <w:numPr>
          <w:ilvl w:val="0"/>
          <w:numId w:val="41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осуществлять операции по переводам денежных средств по поручению физических лиц без открытия банковских счетов, за исключением почтовых переводов.</w:t>
      </w:r>
    </w:p>
    <w:p w14:paraId="3055E7F8" w14:textId="77777777" w:rsidR="00BC0106" w:rsidRPr="00DF776D" w:rsidRDefault="00BC0106" w:rsidP="00DF776D">
      <w:pPr>
        <w:pStyle w:val="ListParagraph"/>
        <w:numPr>
          <w:ilvl w:val="0"/>
          <w:numId w:val="41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Банк вправе осуществлять следующие сделки:</w:t>
      </w:r>
    </w:p>
    <w:p w14:paraId="6AB0EA96" w14:textId="77777777" w:rsidR="00BC0106" w:rsidRPr="00DF776D" w:rsidRDefault="00BC0106" w:rsidP="00DF776D">
      <w:pPr>
        <w:pStyle w:val="ListParagraph"/>
        <w:numPr>
          <w:ilvl w:val="0"/>
          <w:numId w:val="41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выдавать поручительства за третьих лиц, предусматривающие исполнение в денежной форме;</w:t>
      </w:r>
    </w:p>
    <w:p w14:paraId="20246000" w14:textId="77777777" w:rsidR="00BC0106" w:rsidRPr="00DF776D" w:rsidRDefault="00BC0106" w:rsidP="00DF776D">
      <w:pPr>
        <w:pStyle w:val="ListParagraph"/>
        <w:numPr>
          <w:ilvl w:val="0"/>
          <w:numId w:val="41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приобретать права требования от третьих лиц исполнения обязательств в денежной форме:</w:t>
      </w:r>
    </w:p>
    <w:p w14:paraId="2E839BDE" w14:textId="77777777" w:rsidR="00BC0106" w:rsidRPr="00DF776D" w:rsidRDefault="00BC0106" w:rsidP="00DF776D">
      <w:pPr>
        <w:pStyle w:val="ListParagraph"/>
        <w:numPr>
          <w:ilvl w:val="0"/>
          <w:numId w:val="41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доверительно управлять денежными средствами и иным имуществом по договору с физическими и юридическими лицами;</w:t>
      </w:r>
    </w:p>
    <w:p w14:paraId="09FF7283" w14:textId="77777777" w:rsidR="00BC0106" w:rsidRPr="00DF776D" w:rsidRDefault="00BC0106" w:rsidP="00DF776D">
      <w:pPr>
        <w:pStyle w:val="ListParagraph"/>
        <w:numPr>
          <w:ilvl w:val="0"/>
          <w:numId w:val="41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осуществлять операции с драгоценными металлами и драгоценными камнями в соответствии с законодательством Российской Федерации при наличии соответствующей лицензии;</w:t>
      </w:r>
    </w:p>
    <w:p w14:paraId="27D8BD6B" w14:textId="77777777" w:rsidR="00BC0106" w:rsidRPr="00DF776D" w:rsidRDefault="00BC0106" w:rsidP="00DF776D">
      <w:pPr>
        <w:pStyle w:val="ListParagraph"/>
        <w:numPr>
          <w:ilvl w:val="0"/>
          <w:numId w:val="41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F7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предоставлять в аренду юридическим и физическим лицам специальные помещения или находящиеся в них сейфы для хранения денежных средств (в том числе в иностранной валюте), документов, ценных бумаг, драгоценных металлов и камней (в том числе изделий из них) и иных ценностей;</w:t>
      </w:r>
    </w:p>
    <w:p w14:paraId="40E783B1" w14:textId="77777777" w:rsidR="00BC0106" w:rsidRPr="003626B9" w:rsidRDefault="00BC0106" w:rsidP="00B85155">
      <w:pPr>
        <w:pStyle w:val="ListParagraph"/>
        <w:numPr>
          <w:ilvl w:val="0"/>
          <w:numId w:val="34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осуществлять лизинговые операции;</w:t>
      </w:r>
    </w:p>
    <w:p w14:paraId="0CB404A1" w14:textId="77777777" w:rsidR="00BC0106" w:rsidRPr="003626B9" w:rsidRDefault="00BC0106" w:rsidP="00B85155">
      <w:pPr>
        <w:pStyle w:val="ListParagraph"/>
        <w:numPr>
          <w:ilvl w:val="0"/>
          <w:numId w:val="34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оказывать консультационные и информационные услуги;</w:t>
      </w:r>
    </w:p>
    <w:p w14:paraId="71225A78" w14:textId="77777777" w:rsidR="00BC0106" w:rsidRPr="00B85155" w:rsidRDefault="00BC0106" w:rsidP="00B85155">
      <w:pPr>
        <w:pStyle w:val="ListParagraph"/>
        <w:numPr>
          <w:ilvl w:val="0"/>
          <w:numId w:val="34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1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Банк вправе осуществлять иные сделки в соответствии с законодательством Российской Федерации.</w:t>
      </w:r>
    </w:p>
    <w:p w14:paraId="4DF5A075" w14:textId="3F43AD30" w:rsidR="00BC0106" w:rsidRPr="00B85155" w:rsidRDefault="007F7E09" w:rsidP="00B85155">
      <w:pPr>
        <w:pStyle w:val="ListParagraph"/>
        <w:numPr>
          <w:ilvl w:val="0"/>
          <w:numId w:val="34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1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Филиал осуществляет</w:t>
      </w:r>
      <w:r w:rsidR="00BC0106" w:rsidRPr="00B851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сделки в соответствии с действующим законодательством </w:t>
      </w:r>
      <w:r w:rsidR="00BE07C5" w:rsidRPr="00B851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РФ</w:t>
      </w:r>
      <w:r w:rsidR="00BC0106" w:rsidRPr="00B851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т.ч.:</w:t>
      </w:r>
    </w:p>
    <w:p w14:paraId="631993E0" w14:textId="77777777" w:rsidR="00BC0106" w:rsidRPr="003626B9" w:rsidRDefault="00BC0106" w:rsidP="00B85155">
      <w:pPr>
        <w:pStyle w:val="ListParagraph"/>
        <w:numPr>
          <w:ilvl w:val="0"/>
          <w:numId w:val="34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предоставление в аренду физическим и юридическим лицам</w:t>
      </w: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специальных помещений или находящихся в них сейфов для</w:t>
      </w: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хранения документов и ценностей;</w:t>
      </w:r>
    </w:p>
    <w:p w14:paraId="674ADD60" w14:textId="77777777" w:rsidR="00BC0106" w:rsidRPr="003626B9" w:rsidRDefault="00BC0106" w:rsidP="00B85155">
      <w:pPr>
        <w:pStyle w:val="ListParagraph"/>
        <w:numPr>
          <w:ilvl w:val="0"/>
          <w:numId w:val="34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лизинговые операции;</w:t>
      </w:r>
    </w:p>
    <w:p w14:paraId="3E1BA662" w14:textId="77777777" w:rsidR="00BC0106" w:rsidRPr="003626B9" w:rsidRDefault="00BC0106" w:rsidP="00B85155">
      <w:pPr>
        <w:pStyle w:val="ListParagraph"/>
        <w:numPr>
          <w:ilvl w:val="0"/>
          <w:numId w:val="34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оказание консультационных и информационных услуг.</w:t>
      </w:r>
    </w:p>
    <w:p w14:paraId="45CAD6C4" w14:textId="77777777" w:rsidR="00BC0106" w:rsidRPr="003626B9" w:rsidRDefault="00BC0106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Банк гарантирует тайну по операциям, счетам и вкладам своих клиентов и корреспондентов. Все сотрудники и акционеры банка обязаны строго хранить тайну по операциям, счетам и вкладам банка, его клиентов и корреспондентов. Справки по счетам, операциям и вкладам клиентов могут выдаваться только в случаях и в порядке, предусмотренных законодательством.</w:t>
      </w:r>
    </w:p>
    <w:p w14:paraId="119DFCE4" w14:textId="5E39089A" w:rsidR="00BC0106" w:rsidRPr="003626B9" w:rsidRDefault="00BC0106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Информация по операциям предоставляется Банком в уполномоченный орган. Перечень информации, составляющей коммерческую тайн</w:t>
      </w:r>
      <w:r w:rsidR="00BE07C5"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устанавливается Президентом банка с учетом правовых актов </w:t>
      </w:r>
      <w:r w:rsidR="00BE07C5"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РФ</w:t>
      </w: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74FB6894" w14:textId="77777777" w:rsidR="001269E3" w:rsidRPr="003626B9" w:rsidRDefault="00BC0106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</w:p>
    <w:p w14:paraId="7375284C" w14:textId="1623480C" w:rsidR="00723EAB" w:rsidRPr="003626B9" w:rsidRDefault="00BC0106" w:rsidP="00B85155">
      <w:pPr>
        <w:shd w:val="clear" w:color="auto" w:fill="FFFFFF"/>
        <w:spacing w:after="0" w:line="30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26B9">
        <w:rPr>
          <w:rFonts w:ascii="Times New Roman" w:hAnsi="Times New Roman" w:cs="Times New Roman"/>
          <w:b/>
          <w:sz w:val="32"/>
          <w:szCs w:val="32"/>
        </w:rPr>
        <w:t xml:space="preserve">2. </w:t>
      </w:r>
      <w:hyperlink r:id="rId8" w:history="1">
        <w:r w:rsidR="00683D34" w:rsidRPr="003626B9">
          <w:rPr>
            <w:rStyle w:val="Hyperlink"/>
            <w:rFonts w:ascii="Times New Roman" w:hAnsi="Times New Roman" w:cs="Times New Roman"/>
            <w:b/>
            <w:color w:val="auto"/>
            <w:sz w:val="32"/>
            <w:szCs w:val="32"/>
            <w:u w:val="none"/>
          </w:rPr>
          <w:t xml:space="preserve">Порядок открытия и закрытия расчетных (текущих) счетов юр. </w:t>
        </w:r>
        <w:r w:rsidR="00723EAB" w:rsidRPr="003626B9">
          <w:rPr>
            <w:rStyle w:val="Hyperlink"/>
            <w:rFonts w:ascii="Times New Roman" w:hAnsi="Times New Roman" w:cs="Times New Roman"/>
            <w:b/>
            <w:color w:val="auto"/>
            <w:sz w:val="32"/>
            <w:szCs w:val="32"/>
            <w:u w:val="none"/>
          </w:rPr>
          <w:t>л</w:t>
        </w:r>
        <w:r w:rsidR="00683D34" w:rsidRPr="003626B9">
          <w:rPr>
            <w:rStyle w:val="Hyperlink"/>
            <w:rFonts w:ascii="Times New Roman" w:hAnsi="Times New Roman" w:cs="Times New Roman"/>
            <w:b/>
            <w:color w:val="auto"/>
            <w:sz w:val="32"/>
            <w:szCs w:val="32"/>
            <w:u w:val="none"/>
          </w:rPr>
          <w:t>ицам к физ. лицам предпринимателям. Оформление договора банковского счета с клиентом.</w:t>
        </w:r>
      </w:hyperlink>
    </w:p>
    <w:p w14:paraId="3A9516B5" w14:textId="24FA4D71" w:rsidR="008C7D6A" w:rsidRPr="003626B9" w:rsidRDefault="008C7D6A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hAnsi="Times New Roman" w:cs="Times New Roman"/>
          <w:bCs/>
          <w:sz w:val="28"/>
          <w:szCs w:val="28"/>
        </w:rPr>
        <w:br/>
      </w: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осуществления расчетных операций клиент открывает в банке счет (расчетный, ссудный, контокоррентный, чековый, карт-счет, текущий и др.), вид которого предопределен их правовым статусом и характером деятельности. Счета различаются по их назначению, валюте учета, по </w:t>
      </w: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субъектному составу их владельцев, по объему операций и другим признакам.</w:t>
      </w:r>
    </w:p>
    <w:p w14:paraId="797A4949" w14:textId="3179A3B2" w:rsidR="003626B9" w:rsidRPr="003626B9" w:rsidRDefault="008C7D6A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Расчеты совершаются на основе договора банковского счета (ст. 845, 846 ГК РФ).</w:t>
      </w:r>
    </w:p>
    <w:p w14:paraId="59D10AB5" w14:textId="242C0828" w:rsidR="008C7D6A" w:rsidRPr="003626B9" w:rsidRDefault="003626B9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Виды счетов доступны на рис. 1</w:t>
      </w:r>
    </w:p>
    <w:p w14:paraId="4394AD34" w14:textId="77777777" w:rsidR="008C7D6A" w:rsidRPr="003626B9" w:rsidRDefault="008C7D6A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C56980" w14:textId="70C9DE9E" w:rsidR="008C7D6A" w:rsidRPr="003626B9" w:rsidRDefault="008C7D6A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Открытие расчётного счета в банке</w:t>
      </w:r>
      <w:r w:rsidR="00B851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56D2385" w14:textId="2C5EB5EF" w:rsidR="008C7D6A" w:rsidRPr="003626B9" w:rsidRDefault="008C7D6A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расчетно-кассового обслуживания каждое юридическое лицо открывает расчетный счёт в банке. Это основополагающий момент во взаимоотношениях между банком и его клиентом. В пункте 1 ст. 846 ГК РФ указано, что клиенту счет в банке открывается на основании договора банковского счета.</w:t>
      </w:r>
    </w:p>
    <w:p w14:paraId="26F8A539" w14:textId="77777777" w:rsidR="008C7D6A" w:rsidRPr="003626B9" w:rsidRDefault="008C7D6A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открытия счета необходимо в банк предоставить следующие документы:</w:t>
      </w:r>
    </w:p>
    <w:p w14:paraId="2BE73182" w14:textId="74E2C5AA" w:rsidR="008C7D6A" w:rsidRPr="00B85155" w:rsidRDefault="008C7D6A" w:rsidP="00B85155">
      <w:pPr>
        <w:pStyle w:val="ListParagraph"/>
        <w:numPr>
          <w:ilvl w:val="0"/>
          <w:numId w:val="33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1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заявление об открытии счёта по форме 0401025;</w:t>
      </w:r>
    </w:p>
    <w:p w14:paraId="5F630BBC" w14:textId="35530E5E" w:rsidR="008C7D6A" w:rsidRPr="00B85155" w:rsidRDefault="008C7D6A" w:rsidP="00B85155">
      <w:pPr>
        <w:pStyle w:val="ListParagraph"/>
        <w:numPr>
          <w:ilvl w:val="0"/>
          <w:numId w:val="33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1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 о государственной регистрации юридического лица в соответствии с действующим законодательством (нотариально заверенная копия);</w:t>
      </w:r>
    </w:p>
    <w:p w14:paraId="75C61E62" w14:textId="4E5B0430" w:rsidR="008C7D6A" w:rsidRPr="00B85155" w:rsidRDefault="008C7D6A" w:rsidP="00B85155">
      <w:pPr>
        <w:pStyle w:val="ListParagraph"/>
        <w:numPr>
          <w:ilvl w:val="0"/>
          <w:numId w:val="33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1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учредительные документы (нотариально заверенные копии);</w:t>
      </w:r>
    </w:p>
    <w:p w14:paraId="4C8895CE" w14:textId="14BC8FB0" w:rsidR="008C7D6A" w:rsidRPr="00B85155" w:rsidRDefault="008C7D6A" w:rsidP="00B85155">
      <w:pPr>
        <w:pStyle w:val="ListParagraph"/>
        <w:numPr>
          <w:ilvl w:val="0"/>
          <w:numId w:val="33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1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свидетельство о постановке на учёт в налоговом органе (подлинный экземпляр);</w:t>
      </w:r>
    </w:p>
    <w:p w14:paraId="2EE7D196" w14:textId="20E11C25" w:rsidR="008C7D6A" w:rsidRPr="00B85155" w:rsidRDefault="008C7D6A" w:rsidP="00B85155">
      <w:pPr>
        <w:pStyle w:val="ListParagraph"/>
        <w:numPr>
          <w:ilvl w:val="0"/>
          <w:numId w:val="33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1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карточка с образцами подписей и оттиска печати формы 0401026 (2 экземпляра);</w:t>
      </w:r>
    </w:p>
    <w:p w14:paraId="0E60217D" w14:textId="77017CAC" w:rsidR="008C7D6A" w:rsidRPr="00B85155" w:rsidRDefault="008C7D6A" w:rsidP="00B85155">
      <w:pPr>
        <w:pStyle w:val="ListParagraph"/>
        <w:numPr>
          <w:ilvl w:val="0"/>
          <w:numId w:val="33"/>
        </w:num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1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документ, подтверждающий полномочия должностных лиц на распоряжение счётом. Этот документ предоставляется только в случаях, если в карточках с образцами подписей нотариусом не заверены полномочия должностных лиц.</w:t>
      </w:r>
    </w:p>
    <w:p w14:paraId="18F18284" w14:textId="77777777" w:rsidR="008C7D6A" w:rsidRPr="003626B9" w:rsidRDefault="008C7D6A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карточку по форме 0401026 </w:t>
      </w:r>
      <w:r w:rsidRPr="003626B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обязательно</w:t>
      </w: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включается образец оттиска печати, присвоенной юридическому лицу или его обособленным структурным подразделениям.</w:t>
      </w:r>
    </w:p>
    <w:p w14:paraId="07506EB9" w14:textId="5BC4770A" w:rsidR="008C7D6A" w:rsidRPr="00B85155" w:rsidRDefault="008C7D6A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Полный пакет документов передается в службу экономической безопасности банка, которая проводит проверку, после чего юридическая служба готовит </w:t>
      </w:r>
      <w:r w:rsidRPr="003626B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договор банковского счёта, </w:t>
      </w: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обычно применяются типовые формы договоров банковского счёта.</w:t>
      </w:r>
      <w:r w:rsidR="00BC0106" w:rsidRPr="003626B9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3B4544C" w14:textId="1B17A123" w:rsidR="00BC0106" w:rsidRPr="00B85155" w:rsidRDefault="00BC0106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  <w:u w:val="none"/>
        </w:rPr>
      </w:pPr>
      <w:r w:rsidRPr="00B85155">
        <w:rPr>
          <w:b/>
          <w:sz w:val="32"/>
          <w:szCs w:val="32"/>
        </w:rPr>
        <w:lastRenderedPageBreak/>
        <w:t xml:space="preserve">3. </w:t>
      </w:r>
      <w:hyperlink r:id="rId9" w:history="1">
        <w:r w:rsidR="00683D34" w:rsidRPr="00B85155">
          <w:rPr>
            <w:rStyle w:val="Hyperlink"/>
            <w:b/>
            <w:color w:val="auto"/>
            <w:sz w:val="32"/>
            <w:szCs w:val="32"/>
            <w:u w:val="none"/>
          </w:rPr>
          <w:t>Формирование юридических дел клиентов</w:t>
        </w:r>
      </w:hyperlink>
    </w:p>
    <w:p w14:paraId="73B85C66" w14:textId="02BD9C63" w:rsidR="00B85155" w:rsidRPr="00B85155" w:rsidRDefault="008C7D6A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  <w:u w:val="none"/>
        </w:rPr>
      </w:pPr>
      <w:r w:rsidRPr="00B85155">
        <w:rPr>
          <w:rStyle w:val="Hyperlink"/>
          <w:b/>
          <w:color w:val="auto"/>
          <w:sz w:val="32"/>
          <w:szCs w:val="32"/>
          <w:u w:val="none"/>
        </w:rPr>
        <w:t>Юридическое дело формируется одним из двух способов</w:t>
      </w:r>
    </w:p>
    <w:p w14:paraId="7212D044" w14:textId="0E8923DF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По каждому банковскому вкладу (депозиту) клиента формируется отдельное дело</w:t>
      </w:r>
    </w:p>
    <w:p w14:paraId="6913A6FA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После оформления документов, касающихся открытия счета клиенту, формируется юридическое дело клиента, в которое помещаются документы клиента, предоставленные в банк при открытии счета, а также иные документы, касающиеся отношений между клиентом и банком по вопросам открытия, ведения и закрытия счета.</w:t>
      </w:r>
    </w:p>
    <w:p w14:paraId="31F9BDAE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rStyle w:val="Strong"/>
          <w:b w:val="0"/>
          <w:sz w:val="28"/>
          <w:szCs w:val="28"/>
        </w:rPr>
        <w:t>В юридическое дело по мере поступления помещаются:</w:t>
      </w:r>
    </w:p>
    <w:p w14:paraId="54EE9586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1. Документы и сведения, предоставленные клиентом (его представителем) при открытии банковского счета, счета по вкладу (депозиту), а также документы, предоставляемые в случае изменения указанных сведений.</w:t>
      </w:r>
    </w:p>
    <w:p w14:paraId="5FEB234C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2. Договор (договоры) банковского счета, счета по вкладу (депозиту) изменения и дополнения к указанным договорам, другие договоры, определяющие отношения между банком и клиентом по открытию, ведению и закрытию банковского счета, счета по вкладу (депозиту).</w:t>
      </w:r>
    </w:p>
    <w:p w14:paraId="5AB610D8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3. Документы, касающиеся направления банком сообщений налоговому органу об открытии или закрытии счета (ПФ, ФСС)</w:t>
      </w:r>
    </w:p>
    <w:p w14:paraId="15B12070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4. Переписка банка с клиентом по вопросам открытия, ведения и закрытия банковского счета, счета по вкладу (депозиту)</w:t>
      </w:r>
    </w:p>
    <w:p w14:paraId="473626BA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5. Карточки образцов подписей утратившие силу и копии действующих</w:t>
      </w:r>
    </w:p>
    <w:p w14:paraId="2A9A7C69" w14:textId="74EA9990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6. Иные документы, помещенные в юридическое дело при открытии счета и при передаче юридического дела в другое подразделение банка. Опись должна быть подписана должностным лицом банка, составившим ее.</w:t>
      </w:r>
    </w:p>
    <w:p w14:paraId="03A38417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В соответствии с банковскими правилами каждому сформированному юридическому делу банк присваивает порядковый номер, соответствующий номеру первого открытого клиенту счета.</w:t>
      </w:r>
    </w:p>
    <w:p w14:paraId="330F25D2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rStyle w:val="Strong"/>
          <w:b w:val="0"/>
          <w:sz w:val="28"/>
          <w:szCs w:val="28"/>
        </w:rPr>
        <w:t>На обложке юридического дела указываются:</w:t>
      </w:r>
    </w:p>
    <w:p w14:paraId="672ABD5B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· Порядковый номер дела</w:t>
      </w:r>
    </w:p>
    <w:p w14:paraId="6DAF449E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· Наименование клиента</w:t>
      </w:r>
    </w:p>
    <w:p w14:paraId="77E84533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· Юридический адрес клиента</w:t>
      </w:r>
    </w:p>
    <w:p w14:paraId="24B3B3A2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lastRenderedPageBreak/>
        <w:t>· Номер счета (счетов)</w:t>
      </w:r>
    </w:p>
    <w:p w14:paraId="1CFF1C4E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· ИНН клиента</w:t>
      </w:r>
    </w:p>
    <w:p w14:paraId="01ED96A2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· Дата открытия (закрытия или изменения) счета (счетов).</w:t>
      </w:r>
    </w:p>
    <w:p w14:paraId="12B88478" w14:textId="77777777" w:rsidR="000A0B49" w:rsidRPr="003626B9" w:rsidRDefault="000A0B49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Документы, представляемые клиентом после открытия счета, принимаются банком на основании заявления клиента о внесении необходимых изменений.</w:t>
      </w:r>
    </w:p>
    <w:p w14:paraId="1FB4917D" w14:textId="0F3CD689" w:rsidR="0012489D" w:rsidRDefault="000A0B49" w:rsidP="00700EA8">
      <w:pPr>
        <w:pStyle w:val="NormalWeb"/>
        <w:spacing w:before="0" w:beforeAutospacing="0" w:after="0" w:afterAutospacing="0" w:line="25" w:lineRule="atLeast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Юридические дела хранятся до закрытия всех счетов клиента (до прекращения отношений с ним).</w:t>
      </w:r>
    </w:p>
    <w:p w14:paraId="2BFF0203" w14:textId="77777777" w:rsidR="00700EA8" w:rsidRPr="00700EA8" w:rsidRDefault="00700EA8" w:rsidP="00700EA8">
      <w:pPr>
        <w:pStyle w:val="NormalWeb"/>
        <w:spacing w:before="0" w:beforeAutospacing="0" w:after="0" w:afterAutospacing="0" w:line="25" w:lineRule="atLeast"/>
        <w:ind w:left="284"/>
        <w:jc w:val="both"/>
        <w:rPr>
          <w:rStyle w:val="Hyperlink"/>
          <w:bCs/>
          <w:color w:val="auto"/>
          <w:sz w:val="28"/>
          <w:szCs w:val="28"/>
          <w:u w:val="none"/>
        </w:rPr>
      </w:pPr>
    </w:p>
    <w:p w14:paraId="6D3E1AD6" w14:textId="70FD086D" w:rsidR="00BC0106" w:rsidRDefault="00BC0106" w:rsidP="00700EA8">
      <w:pPr>
        <w:spacing w:after="0" w:line="25" w:lineRule="atLeast"/>
        <w:ind w:left="284"/>
        <w:jc w:val="center"/>
        <w:rPr>
          <w:rStyle w:val="Hyperlink"/>
          <w:rFonts w:ascii="Times New Roman" w:hAnsi="Times New Roman" w:cs="Times New Roman"/>
          <w:b/>
          <w:color w:val="auto"/>
          <w:sz w:val="32"/>
          <w:szCs w:val="32"/>
          <w:u w:val="none"/>
        </w:rPr>
      </w:pPr>
      <w:r w:rsidRPr="00700EA8">
        <w:rPr>
          <w:rFonts w:ascii="Times New Roman" w:hAnsi="Times New Roman" w:cs="Times New Roman"/>
          <w:b/>
          <w:sz w:val="32"/>
          <w:szCs w:val="32"/>
        </w:rPr>
        <w:t xml:space="preserve">4. </w:t>
      </w:r>
      <w:hyperlink r:id="rId10" w:history="1">
        <w:r w:rsidR="00683D34" w:rsidRPr="00700EA8">
          <w:rPr>
            <w:rStyle w:val="Hyperlink"/>
            <w:rFonts w:ascii="Times New Roman" w:hAnsi="Times New Roman" w:cs="Times New Roman"/>
            <w:b/>
            <w:color w:val="auto"/>
            <w:sz w:val="32"/>
            <w:szCs w:val="32"/>
            <w:u w:val="none"/>
          </w:rPr>
          <w:t>Присвоение номера вновь открываемому лицевого счета и внесение записи в книгу регистр. Открытых счетов</w:t>
        </w:r>
      </w:hyperlink>
    </w:p>
    <w:p w14:paraId="3639278C" w14:textId="77777777" w:rsidR="00700EA8" w:rsidRPr="00700EA8" w:rsidRDefault="00700EA8" w:rsidP="00700EA8">
      <w:pPr>
        <w:spacing w:after="0" w:line="25" w:lineRule="atLeast"/>
        <w:ind w:left="284"/>
        <w:jc w:val="center"/>
        <w:rPr>
          <w:rStyle w:val="Hyperlink"/>
          <w:rFonts w:ascii="Times New Roman" w:eastAsia="Times New Roman" w:hAnsi="Times New Roman" w:cs="Times New Roman"/>
          <w:b/>
          <w:color w:val="auto"/>
          <w:sz w:val="32"/>
          <w:szCs w:val="32"/>
          <w:u w:val="none"/>
          <w:lang w:eastAsia="ru-RU"/>
        </w:rPr>
      </w:pPr>
    </w:p>
    <w:p w14:paraId="2BB23EA3" w14:textId="77777777" w:rsidR="009E6D82" w:rsidRPr="003626B9" w:rsidRDefault="009E6D82" w:rsidP="00B85155">
      <w:pPr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Лицевые счета в кредитной организации ведутся в виде электронных баз данных (файлов, каталогов), сформированных программным путем с использованием средств вычислительной техники. В лицевых счетах должны отражаться:</w:t>
      </w:r>
    </w:p>
    <w:p w14:paraId="7019BC32" w14:textId="1F3D6163" w:rsidR="009E6D82" w:rsidRPr="00700EA8" w:rsidRDefault="009E6D82" w:rsidP="00700EA8">
      <w:pPr>
        <w:pStyle w:val="ListParagraph"/>
        <w:numPr>
          <w:ilvl w:val="0"/>
          <w:numId w:val="38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00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дата совершения операции;</w:t>
      </w:r>
    </w:p>
    <w:p w14:paraId="2655B7DC" w14:textId="10CDD4FB" w:rsidR="009E6D82" w:rsidRPr="00700EA8" w:rsidRDefault="009E6D82" w:rsidP="00700EA8">
      <w:pPr>
        <w:pStyle w:val="ListParagraph"/>
        <w:numPr>
          <w:ilvl w:val="0"/>
          <w:numId w:val="38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00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номер документа;</w:t>
      </w:r>
    </w:p>
    <w:p w14:paraId="417B49C4" w14:textId="43ABA066" w:rsidR="009E6D82" w:rsidRPr="00700EA8" w:rsidRDefault="009E6D82" w:rsidP="00700EA8">
      <w:pPr>
        <w:pStyle w:val="ListParagraph"/>
        <w:numPr>
          <w:ilvl w:val="0"/>
          <w:numId w:val="38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00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 (шифр) операции;</w:t>
      </w:r>
    </w:p>
    <w:p w14:paraId="31C9ABB0" w14:textId="5662D33C" w:rsidR="009E6D82" w:rsidRPr="00700EA8" w:rsidRDefault="009E6D82" w:rsidP="00700EA8">
      <w:pPr>
        <w:pStyle w:val="ListParagraph"/>
        <w:numPr>
          <w:ilvl w:val="0"/>
          <w:numId w:val="38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00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номер корреспондирующего счета;</w:t>
      </w:r>
    </w:p>
    <w:p w14:paraId="20CC3D5B" w14:textId="26F97827" w:rsidR="009E6D82" w:rsidRPr="00700EA8" w:rsidRDefault="009E6D82" w:rsidP="00700EA8">
      <w:pPr>
        <w:pStyle w:val="ListParagraph"/>
        <w:numPr>
          <w:ilvl w:val="0"/>
          <w:numId w:val="38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00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суммы - отдельно по дебету и кредиту, остаток по счету;</w:t>
      </w:r>
    </w:p>
    <w:p w14:paraId="565A8B4C" w14:textId="060308AE" w:rsidR="009E6D82" w:rsidRPr="00700EA8" w:rsidRDefault="009E6D82" w:rsidP="00700EA8">
      <w:pPr>
        <w:pStyle w:val="ListParagraph"/>
        <w:numPr>
          <w:ilvl w:val="0"/>
          <w:numId w:val="38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00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другие реквизиты по необходимости.</w:t>
      </w:r>
    </w:p>
    <w:p w14:paraId="6A9EC823" w14:textId="77777777" w:rsidR="009E6D82" w:rsidRPr="00700EA8" w:rsidRDefault="009E6D82" w:rsidP="00700EA8">
      <w:pPr>
        <w:spacing w:after="0" w:line="30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00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выписках лицевых счетов должны отражаться:</w:t>
      </w:r>
    </w:p>
    <w:p w14:paraId="6870C546" w14:textId="262130AA" w:rsidR="009E6D82" w:rsidRPr="00700EA8" w:rsidRDefault="009E6D82" w:rsidP="00700EA8">
      <w:pPr>
        <w:pStyle w:val="ListParagraph"/>
        <w:numPr>
          <w:ilvl w:val="0"/>
          <w:numId w:val="37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00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дата предыдущей операции по счету;</w:t>
      </w:r>
    </w:p>
    <w:p w14:paraId="494CF11C" w14:textId="07164B45" w:rsidR="009E6D82" w:rsidRPr="00700EA8" w:rsidRDefault="009E6D82" w:rsidP="00700EA8">
      <w:pPr>
        <w:pStyle w:val="ListParagraph"/>
        <w:numPr>
          <w:ilvl w:val="0"/>
          <w:numId w:val="37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00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входящий остаток на начало дня;</w:t>
      </w:r>
    </w:p>
    <w:p w14:paraId="27CAA17B" w14:textId="5621AA98" w:rsidR="009E6D82" w:rsidRPr="00700EA8" w:rsidRDefault="009E6D82" w:rsidP="00700EA8">
      <w:pPr>
        <w:pStyle w:val="ListParagraph"/>
        <w:numPr>
          <w:ilvl w:val="0"/>
          <w:numId w:val="37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00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обороты по дебету и кредиту, отраженные по каждому документу (сводному документу);</w:t>
      </w:r>
    </w:p>
    <w:p w14:paraId="23A1AB26" w14:textId="126101EB" w:rsidR="009E6D82" w:rsidRPr="00700EA8" w:rsidRDefault="009E6D82" w:rsidP="00700EA8">
      <w:pPr>
        <w:pStyle w:val="ListParagraph"/>
        <w:numPr>
          <w:ilvl w:val="0"/>
          <w:numId w:val="37"/>
        </w:numPr>
        <w:spacing w:after="0" w:line="30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00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остаток после отражения каждой операции (по усмотрению кредитной организации) и на конец дня.</w:t>
      </w:r>
    </w:p>
    <w:p w14:paraId="0C2FA4E1" w14:textId="77777777" w:rsidR="009E6D82" w:rsidRPr="003626B9" w:rsidRDefault="009E6D82" w:rsidP="00B85155">
      <w:pPr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Ведение учета взносов акционеров, вкладов физических лиц, расчетов с работниками кредитной организации по заработной плате, учета основных средств, операций потребительского кредитования и других операций по потребностям кредитной организации в отдельных программах с отражением на соответствующих счетах учета в балансе итоговыми суммами.</w:t>
      </w:r>
    </w:p>
    <w:p w14:paraId="34775936" w14:textId="77777777" w:rsidR="009E6D82" w:rsidRPr="003626B9" w:rsidRDefault="009E6D82" w:rsidP="00B85155">
      <w:pPr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Для открытия на балансе кредитной организации лицевого счета клиента в бухгалтерию (главному бухгалтеру, его заместителю или ответственному исполнителю, которому внутренним распорядительным документом предоставлено право открытия счетов) передаются распоряжение об открытии счета, подписанное руководителем кредитной организации или соответствующим уполномоченным лицом, и карточка с образцами подписей и оттиска печати клиента, заверенная нотариально или уполномоченным лицом кредитной организации.</w:t>
      </w:r>
    </w:p>
    <w:p w14:paraId="1C9FFEB9" w14:textId="50F72096" w:rsidR="00BC0106" w:rsidRDefault="009E6D82" w:rsidP="00B85155">
      <w:pPr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Количество открытых на имя одного клиента в кредитной организации специальных банковских счетов в рублях не ограничивается.</w:t>
      </w:r>
    </w:p>
    <w:p w14:paraId="33AA0112" w14:textId="77777777" w:rsidR="00700EA8" w:rsidRPr="003626B9" w:rsidRDefault="00700EA8" w:rsidP="00B85155">
      <w:pPr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FBC57D" w14:textId="4F4B9A6B" w:rsidR="00BC0106" w:rsidRDefault="00BC0106" w:rsidP="00700EA8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  <w:u w:val="none"/>
        </w:rPr>
      </w:pPr>
      <w:r w:rsidRPr="00700EA8">
        <w:rPr>
          <w:b/>
          <w:sz w:val="32"/>
          <w:szCs w:val="32"/>
        </w:rPr>
        <w:t xml:space="preserve">5. </w:t>
      </w:r>
      <w:hyperlink r:id="rId11" w:history="1">
        <w:r w:rsidR="00683D34" w:rsidRPr="00700EA8">
          <w:rPr>
            <w:rStyle w:val="Hyperlink"/>
            <w:b/>
            <w:color w:val="auto"/>
            <w:sz w:val="32"/>
            <w:szCs w:val="32"/>
            <w:u w:val="none"/>
          </w:rPr>
          <w:t>Формы безналичных расчетов и требования к заполнению и оформлению расчетно-денежных документов. Проверка равилности и полноты оформления расчетно-денежных документов (для различных форм расчетов), рассмотрение возможности их оплаты путем проверки остатков средств на счете.</w:t>
        </w:r>
      </w:hyperlink>
    </w:p>
    <w:p w14:paraId="226FCC3F" w14:textId="77777777" w:rsidR="00700EA8" w:rsidRPr="00700EA8" w:rsidRDefault="00700EA8" w:rsidP="00700EA8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  <w:u w:val="none"/>
        </w:rPr>
      </w:pPr>
    </w:p>
    <w:p w14:paraId="08F9DDD6" w14:textId="77777777" w:rsidR="009E6D82" w:rsidRPr="003626B9" w:rsidRDefault="009E6D82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Формы безналичных расчетов и механизм их реализации на территории Российской Федерации закреплены в ст. 862 ГК РФ, устанавливающей правила расчетов платежными поручениями, по аккредитиву, чеками, расчетов по инкассо, а также расчетов в иных формах, предусмотренных законом в соответствии с банковскими правилами и применяемыми в банковской практике обычаями делового оборота.</w:t>
      </w:r>
    </w:p>
    <w:p w14:paraId="07C8C231" w14:textId="77777777" w:rsidR="009E6D82" w:rsidRPr="003626B9" w:rsidRDefault="009E6D82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Положение Банка России «О безналичных расчетах в Российской Федерации» помимо регулирования осуществления безналичных расчетов по счетам в формах, установленных ГК РФ, определяет форматы и порядок заполнения используемых расчетных документов, среди которых можно выделить:</w:t>
      </w:r>
    </w:p>
    <w:p w14:paraId="3BCE7EAF" w14:textId="37A5E301" w:rsidR="009E6D82" w:rsidRPr="00794E1A" w:rsidRDefault="009E6D82" w:rsidP="00794E1A">
      <w:pPr>
        <w:pStyle w:val="ListParagraph"/>
        <w:numPr>
          <w:ilvl w:val="0"/>
          <w:numId w:val="39"/>
        </w:numPr>
        <w:spacing w:after="0" w:line="30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4E1A">
        <w:rPr>
          <w:rFonts w:ascii="Times New Roman" w:hAnsi="Times New Roman" w:cs="Times New Roman"/>
          <w:bCs/>
          <w:sz w:val="28"/>
          <w:szCs w:val="28"/>
        </w:rPr>
        <w:t>платежные поручения;</w:t>
      </w:r>
    </w:p>
    <w:p w14:paraId="7BDED1D8" w14:textId="63507B50" w:rsidR="009E6D82" w:rsidRPr="00794E1A" w:rsidRDefault="009E6D82" w:rsidP="00794E1A">
      <w:pPr>
        <w:pStyle w:val="ListParagraph"/>
        <w:numPr>
          <w:ilvl w:val="0"/>
          <w:numId w:val="39"/>
        </w:numPr>
        <w:spacing w:after="0" w:line="30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4E1A">
        <w:rPr>
          <w:rFonts w:ascii="Times New Roman" w:hAnsi="Times New Roman" w:cs="Times New Roman"/>
          <w:bCs/>
          <w:sz w:val="28"/>
          <w:szCs w:val="28"/>
        </w:rPr>
        <w:t>аккредитивы;</w:t>
      </w:r>
    </w:p>
    <w:p w14:paraId="2E25363E" w14:textId="219789F3" w:rsidR="009E6D82" w:rsidRPr="00794E1A" w:rsidRDefault="009E6D82" w:rsidP="00794E1A">
      <w:pPr>
        <w:pStyle w:val="ListParagraph"/>
        <w:numPr>
          <w:ilvl w:val="0"/>
          <w:numId w:val="39"/>
        </w:numPr>
        <w:spacing w:after="0" w:line="30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4E1A">
        <w:rPr>
          <w:rFonts w:ascii="Times New Roman" w:hAnsi="Times New Roman" w:cs="Times New Roman"/>
          <w:bCs/>
          <w:sz w:val="28"/>
          <w:szCs w:val="28"/>
        </w:rPr>
        <w:t>чеки;</w:t>
      </w:r>
    </w:p>
    <w:p w14:paraId="649EBC37" w14:textId="4D93F99B" w:rsidR="009E6D82" w:rsidRPr="00794E1A" w:rsidRDefault="009E6D82" w:rsidP="00794E1A">
      <w:pPr>
        <w:pStyle w:val="ListParagraph"/>
        <w:numPr>
          <w:ilvl w:val="0"/>
          <w:numId w:val="39"/>
        </w:numPr>
        <w:spacing w:after="0" w:line="30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4E1A">
        <w:rPr>
          <w:rFonts w:ascii="Times New Roman" w:hAnsi="Times New Roman" w:cs="Times New Roman"/>
          <w:bCs/>
          <w:sz w:val="28"/>
          <w:szCs w:val="28"/>
        </w:rPr>
        <w:t>платежные требования;</w:t>
      </w:r>
    </w:p>
    <w:p w14:paraId="38A78610" w14:textId="40DB9057" w:rsidR="009E6D82" w:rsidRPr="00794E1A" w:rsidRDefault="009E6D82" w:rsidP="00794E1A">
      <w:pPr>
        <w:pStyle w:val="ListParagraph"/>
        <w:numPr>
          <w:ilvl w:val="0"/>
          <w:numId w:val="39"/>
        </w:numPr>
        <w:spacing w:after="0" w:line="30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4E1A">
        <w:rPr>
          <w:rFonts w:ascii="Times New Roman" w:hAnsi="Times New Roman" w:cs="Times New Roman"/>
          <w:bCs/>
          <w:sz w:val="28"/>
          <w:szCs w:val="28"/>
        </w:rPr>
        <w:lastRenderedPageBreak/>
        <w:t>инкассовые поручения.</w:t>
      </w:r>
    </w:p>
    <w:p w14:paraId="0DCEE5DD" w14:textId="7CD3C217" w:rsidR="009E6D82" w:rsidRPr="003626B9" w:rsidRDefault="009E6D82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Платежный документ представляет собой:</w:t>
      </w:r>
    </w:p>
    <w:p w14:paraId="5554FECA" w14:textId="6AA98679" w:rsidR="009E6D82" w:rsidRPr="003626B9" w:rsidRDefault="009E6D82" w:rsidP="00B85155">
      <w:pPr>
        <w:numPr>
          <w:ilvl w:val="0"/>
          <w:numId w:val="22"/>
        </w:numPr>
        <w:spacing w:after="0" w:line="300" w:lineRule="auto"/>
        <w:ind w:left="284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26B9">
        <w:rPr>
          <w:rFonts w:ascii="Times New Roman" w:hAnsi="Times New Roman" w:cs="Times New Roman"/>
          <w:bCs/>
          <w:sz w:val="28"/>
          <w:szCs w:val="28"/>
        </w:rPr>
        <w:t>распоряжение плательщика (клиента или банка) о списании денежных средств со своего счета и их перечислении на счет получателя средств;</w:t>
      </w:r>
    </w:p>
    <w:p w14:paraId="38BF6B5E" w14:textId="743A54CA" w:rsidR="009E6D82" w:rsidRPr="003626B9" w:rsidRDefault="009E6D82" w:rsidP="00B85155">
      <w:pPr>
        <w:numPr>
          <w:ilvl w:val="0"/>
          <w:numId w:val="22"/>
        </w:numPr>
        <w:spacing w:after="0" w:line="300" w:lineRule="auto"/>
        <w:ind w:left="284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26B9">
        <w:rPr>
          <w:rFonts w:ascii="Times New Roman" w:hAnsi="Times New Roman" w:cs="Times New Roman"/>
          <w:bCs/>
          <w:sz w:val="28"/>
          <w:szCs w:val="28"/>
        </w:rPr>
        <w:t>распоряжение получателя средств (взыскателя) на списание денежных средств со счета плательщика и перечисление на счет, указанный получателем средств (взыскателем).</w:t>
      </w:r>
    </w:p>
    <w:p w14:paraId="26EB06AA" w14:textId="77777777" w:rsidR="009E6D82" w:rsidRPr="003626B9" w:rsidRDefault="009E6D82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Платежное поручение — расчетный документ — распоряжение владельца счета (плательщика) обслуживающему его банку, перевести определенную денежную сумму на счет получателя средств, открытый в этом или другом банке.</w:t>
      </w:r>
    </w:p>
    <w:p w14:paraId="216B6E58" w14:textId="77777777" w:rsidR="009E6D82" w:rsidRPr="003626B9" w:rsidRDefault="009E6D82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Платежное поручение исполняется банком в срок, предусмотренный законодательством, или в более короткий срок, установленный договором банковского счета либо определяемый применяемыми в банковской практике обычаями делового оборота.</w:t>
      </w:r>
    </w:p>
    <w:p w14:paraId="3174DD7E" w14:textId="77777777" w:rsidR="009E6D82" w:rsidRPr="003626B9" w:rsidRDefault="009E6D82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Платежное поручение составляется на бланке установленной формы, образец которого приводится ниже.</w:t>
      </w:r>
    </w:p>
    <w:p w14:paraId="6B61F51A" w14:textId="77777777" w:rsidR="009E6D82" w:rsidRPr="003626B9" w:rsidRDefault="009E6D82" w:rsidP="00B85155">
      <w:pPr>
        <w:pStyle w:val="NormalWeb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Платежными поручениями могут производиться платежи:</w:t>
      </w:r>
    </w:p>
    <w:p w14:paraId="2804C77B" w14:textId="77777777" w:rsidR="009E6D82" w:rsidRPr="003626B9" w:rsidRDefault="009E6D82" w:rsidP="00B85155">
      <w:pPr>
        <w:numPr>
          <w:ilvl w:val="0"/>
          <w:numId w:val="23"/>
        </w:numPr>
        <w:spacing w:after="0" w:line="300" w:lineRule="auto"/>
        <w:ind w:left="284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26B9">
        <w:rPr>
          <w:rFonts w:ascii="Times New Roman" w:hAnsi="Times New Roman" w:cs="Times New Roman"/>
          <w:bCs/>
          <w:sz w:val="28"/>
          <w:szCs w:val="28"/>
        </w:rPr>
        <w:t>— за поставленные товары, выполненные работы, оказанные услуги;</w:t>
      </w:r>
    </w:p>
    <w:p w14:paraId="5A6575DA" w14:textId="77777777" w:rsidR="009E6D82" w:rsidRPr="003626B9" w:rsidRDefault="009E6D82" w:rsidP="00B85155">
      <w:pPr>
        <w:numPr>
          <w:ilvl w:val="0"/>
          <w:numId w:val="23"/>
        </w:numPr>
        <w:spacing w:after="0" w:line="300" w:lineRule="auto"/>
        <w:ind w:left="284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26B9">
        <w:rPr>
          <w:rFonts w:ascii="Times New Roman" w:hAnsi="Times New Roman" w:cs="Times New Roman"/>
          <w:bCs/>
          <w:sz w:val="28"/>
          <w:szCs w:val="28"/>
        </w:rPr>
        <w:t>— по перечислению денежных средств в бюджеты всех уровней и во внебюджетные фонды;</w:t>
      </w:r>
    </w:p>
    <w:p w14:paraId="01670092" w14:textId="77777777" w:rsidR="009E6D82" w:rsidRPr="003626B9" w:rsidRDefault="009E6D82" w:rsidP="00B85155">
      <w:pPr>
        <w:numPr>
          <w:ilvl w:val="0"/>
          <w:numId w:val="23"/>
        </w:numPr>
        <w:spacing w:after="0" w:line="300" w:lineRule="auto"/>
        <w:ind w:left="284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26B9">
        <w:rPr>
          <w:rFonts w:ascii="Times New Roman" w:hAnsi="Times New Roman" w:cs="Times New Roman"/>
          <w:bCs/>
          <w:sz w:val="28"/>
          <w:szCs w:val="28"/>
        </w:rPr>
        <w:t>— в целях возврата (размещения) кредитов, займов, депозитов и уплаты процентов по ним;</w:t>
      </w:r>
    </w:p>
    <w:p w14:paraId="678D8261" w14:textId="77777777" w:rsidR="009E6D82" w:rsidRPr="003626B9" w:rsidRDefault="009E6D82" w:rsidP="00B85155">
      <w:pPr>
        <w:numPr>
          <w:ilvl w:val="0"/>
          <w:numId w:val="23"/>
        </w:numPr>
        <w:spacing w:after="0" w:line="300" w:lineRule="auto"/>
        <w:ind w:left="284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26B9">
        <w:rPr>
          <w:rFonts w:ascii="Times New Roman" w:hAnsi="Times New Roman" w:cs="Times New Roman"/>
          <w:bCs/>
          <w:sz w:val="28"/>
          <w:szCs w:val="28"/>
        </w:rPr>
        <w:t>— по перечислению денежных средств в других целях, предусмотренных законодательством или договором.</w:t>
      </w:r>
    </w:p>
    <w:p w14:paraId="3ACFBCEC" w14:textId="77777777" w:rsidR="009E6D82" w:rsidRPr="003626B9" w:rsidRDefault="009E6D82" w:rsidP="00B85155">
      <w:pPr>
        <w:pStyle w:val="NormalWeb"/>
        <w:numPr>
          <w:ilvl w:val="0"/>
          <w:numId w:val="23"/>
        </w:numPr>
        <w:spacing w:before="0" w:beforeAutospacing="0" w:after="0" w:afterAutospacing="0" w:line="300" w:lineRule="auto"/>
        <w:ind w:left="284" w:firstLine="0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В соответствии с условиями основного договора платежные поручения могут использоваться для предварительной оплаты товаров, работ, услуг или для осуществления периодических платежей.</w:t>
      </w:r>
    </w:p>
    <w:p w14:paraId="4E8F8E70" w14:textId="77777777" w:rsidR="009E6D82" w:rsidRPr="003626B9" w:rsidRDefault="009E6D82" w:rsidP="00B85155">
      <w:pPr>
        <w:pStyle w:val="NormalWeb"/>
        <w:numPr>
          <w:ilvl w:val="0"/>
          <w:numId w:val="23"/>
        </w:numPr>
        <w:spacing w:before="0" w:beforeAutospacing="0" w:after="0" w:afterAutospacing="0" w:line="300" w:lineRule="auto"/>
        <w:ind w:left="284" w:firstLine="0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 xml:space="preserve">При расчетах по аккредитиву банк, действующий по поручению плательщика об открытии аккредитива (банк-эмитент), обязуется произвести платежи в пользу получателя средств по представлении последним документов, соответствующих всем условиям аккредитива, либо предоставить полномочие другому банку (исполняющий банк) </w:t>
      </w:r>
      <w:r w:rsidRPr="003626B9">
        <w:rPr>
          <w:bCs/>
          <w:sz w:val="28"/>
          <w:szCs w:val="28"/>
        </w:rPr>
        <w:lastRenderedPageBreak/>
        <w:t>произвести такие платежи. В качестве исполняющего банка может выступать банк-эмитент, банк получателя средств или иной банк. Аккредитив обособлен и независим от основного договора.</w:t>
      </w:r>
    </w:p>
    <w:p w14:paraId="74583D52" w14:textId="77777777" w:rsidR="009E6D82" w:rsidRPr="003626B9" w:rsidRDefault="009E6D82" w:rsidP="00B85155">
      <w:pPr>
        <w:pStyle w:val="NormalWeb"/>
        <w:numPr>
          <w:ilvl w:val="0"/>
          <w:numId w:val="23"/>
        </w:numPr>
        <w:spacing w:before="0" w:beforeAutospacing="0" w:after="0" w:afterAutospacing="0" w:line="300" w:lineRule="auto"/>
        <w:ind w:left="284" w:firstLine="0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Платеж по аккредитиву производится в безналичном порядке. Размер и порядок оплаты услуг банков при расчетах по аккредитивам регулируется условиями договоров, заключаемых с клиентами, и соглашениями между банками, участвующими в расчетах по аккредитивам.</w:t>
      </w:r>
    </w:p>
    <w:p w14:paraId="7810AD91" w14:textId="27D5D581" w:rsidR="009E6D82" w:rsidRPr="003626B9" w:rsidRDefault="00794E1A" w:rsidP="004807E7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both"/>
        <w:rPr>
          <w:rStyle w:val="Hyperlink"/>
          <w:bCs/>
          <w:color w:val="auto"/>
          <w:sz w:val="28"/>
          <w:szCs w:val="28"/>
        </w:rPr>
      </w:pPr>
      <w:r>
        <w:rPr>
          <w:bCs/>
          <w:noProof/>
          <w:sz w:val="28"/>
          <w:szCs w:val="28"/>
        </w:rPr>
        <w:t>Пример платежного поручения на Рис. 2</w:t>
      </w:r>
    </w:p>
    <w:p w14:paraId="32DF7A5E" w14:textId="2CA0B50B" w:rsidR="009E6D82" w:rsidRPr="003626B9" w:rsidRDefault="009E6D82" w:rsidP="00B85155">
      <w:pPr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Образец формы платежного требования </w:t>
      </w:r>
      <w:r w:rsidR="004807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Рис. 3</w:t>
      </w:r>
    </w:p>
    <w:p w14:paraId="51895519" w14:textId="120F3379" w:rsidR="00BC0106" w:rsidRPr="003626B9" w:rsidRDefault="00BC0106" w:rsidP="00B85155">
      <w:pPr>
        <w:spacing w:after="0" w:line="300" w:lineRule="auto"/>
        <w:ind w:left="284"/>
        <w:jc w:val="both"/>
        <w:rPr>
          <w:rStyle w:val="Hyperlink"/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</w:p>
    <w:p w14:paraId="1C928BAE" w14:textId="6C366F8A" w:rsidR="00BC0106" w:rsidRDefault="00BC0106" w:rsidP="0082327C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  <w:u w:val="none"/>
        </w:rPr>
      </w:pPr>
      <w:r w:rsidRPr="0082327C">
        <w:rPr>
          <w:b/>
          <w:sz w:val="32"/>
          <w:szCs w:val="32"/>
        </w:rPr>
        <w:t xml:space="preserve">Тема 6. </w:t>
      </w:r>
      <w:hyperlink r:id="rId12" w:history="1">
        <w:r w:rsidR="00683D34" w:rsidRPr="0082327C">
          <w:rPr>
            <w:rStyle w:val="Hyperlink"/>
            <w:b/>
            <w:color w:val="auto"/>
            <w:sz w:val="32"/>
            <w:szCs w:val="32"/>
            <w:u w:val="none"/>
          </w:rPr>
          <w:t>Заполнение мемориального ордера на частичную оплату.</w:t>
        </w:r>
      </w:hyperlink>
    </w:p>
    <w:p w14:paraId="7F61DF04" w14:textId="77777777" w:rsidR="0082327C" w:rsidRPr="0082327C" w:rsidRDefault="0082327C" w:rsidP="0082327C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  <w:u w:val="none"/>
        </w:rPr>
      </w:pPr>
    </w:p>
    <w:p w14:paraId="7DA15E88" w14:textId="77777777" w:rsidR="007E3F79" w:rsidRDefault="00E16D30" w:rsidP="0082327C">
      <w:pPr>
        <w:jc w:val="both"/>
        <w:rPr>
          <w:rFonts w:ascii="Times New Roman" w:hAnsi="Times New Roman" w:cs="Times New Roman"/>
          <w:sz w:val="28"/>
          <w:szCs w:val="28"/>
        </w:rPr>
      </w:pPr>
      <w:r w:rsidRPr="0082327C">
        <w:rPr>
          <w:rFonts w:ascii="Times New Roman" w:hAnsi="Times New Roman" w:cs="Times New Roman"/>
          <w:sz w:val="28"/>
          <w:szCs w:val="28"/>
        </w:rPr>
        <w:t xml:space="preserve">Основой для заполнения данного документа служит одна или несколько операций, данные которых схожи. К ордеру прилагают бумаги, которые помогли при его заполнении. Всю информацию заносят в ведомости табличного вида, либо главные книги. Вся отчётность в этой системе выглядит как таблица. </w:t>
      </w:r>
    </w:p>
    <w:p w14:paraId="3D0565C2" w14:textId="381E4DF4" w:rsidR="00E16D30" w:rsidRPr="0082327C" w:rsidRDefault="00E16D30" w:rsidP="0082327C">
      <w:pPr>
        <w:jc w:val="both"/>
        <w:rPr>
          <w:rFonts w:ascii="Times New Roman" w:hAnsi="Times New Roman" w:cs="Times New Roman"/>
          <w:sz w:val="28"/>
          <w:szCs w:val="28"/>
        </w:rPr>
      </w:pPr>
      <w:r w:rsidRPr="0082327C">
        <w:rPr>
          <w:rFonts w:ascii="Times New Roman" w:hAnsi="Times New Roman" w:cs="Times New Roman"/>
          <w:sz w:val="28"/>
          <w:szCs w:val="28"/>
        </w:rPr>
        <w:t xml:space="preserve">Узнаем, как ее грамотно заполнять: </w:t>
      </w:r>
    </w:p>
    <w:p w14:paraId="131D8B43" w14:textId="77777777" w:rsidR="00E16D30" w:rsidRPr="0082327C" w:rsidRDefault="00E16D30" w:rsidP="0082327C">
      <w:pPr>
        <w:jc w:val="both"/>
        <w:rPr>
          <w:rFonts w:ascii="Times New Roman" w:hAnsi="Times New Roman" w:cs="Times New Roman"/>
          <w:sz w:val="28"/>
          <w:szCs w:val="28"/>
        </w:rPr>
      </w:pPr>
      <w:r w:rsidRPr="0082327C">
        <w:rPr>
          <w:rFonts w:ascii="Times New Roman" w:hAnsi="Times New Roman" w:cs="Times New Roman"/>
          <w:sz w:val="28"/>
          <w:szCs w:val="28"/>
        </w:rPr>
        <w:t xml:space="preserve">Раздел «Мемориальный ордер №» – прописываем цифрами номер документа, присвоенный ему предприятием. </w:t>
      </w:r>
    </w:p>
    <w:p w14:paraId="6F743D43" w14:textId="77777777" w:rsidR="00E16D30" w:rsidRPr="0082327C" w:rsidRDefault="00E16D30" w:rsidP="0082327C">
      <w:pPr>
        <w:jc w:val="both"/>
        <w:rPr>
          <w:rFonts w:ascii="Times New Roman" w:hAnsi="Times New Roman" w:cs="Times New Roman"/>
          <w:sz w:val="28"/>
          <w:szCs w:val="28"/>
        </w:rPr>
      </w:pPr>
      <w:r w:rsidRPr="0082327C">
        <w:rPr>
          <w:rFonts w:ascii="Times New Roman" w:hAnsi="Times New Roman" w:cs="Times New Roman"/>
          <w:sz w:val="28"/>
          <w:szCs w:val="28"/>
        </w:rPr>
        <w:t xml:space="preserve">«Дата» – указывается число, месяц и год заполнения. </w:t>
      </w:r>
    </w:p>
    <w:p w14:paraId="595F2ED2" w14:textId="77777777" w:rsidR="00E16D30" w:rsidRPr="0082327C" w:rsidRDefault="00E16D30" w:rsidP="0082327C">
      <w:pPr>
        <w:jc w:val="both"/>
        <w:rPr>
          <w:rFonts w:ascii="Times New Roman" w:hAnsi="Times New Roman" w:cs="Times New Roman"/>
          <w:sz w:val="28"/>
          <w:szCs w:val="28"/>
        </w:rPr>
      </w:pPr>
      <w:r w:rsidRPr="0082327C">
        <w:rPr>
          <w:rFonts w:ascii="Times New Roman" w:hAnsi="Times New Roman" w:cs="Times New Roman"/>
          <w:sz w:val="28"/>
          <w:szCs w:val="28"/>
        </w:rPr>
        <w:t xml:space="preserve">«Сумма прописью» – с заглавной буквы пишем сумму по платежу в рублях и копейках. </w:t>
      </w:r>
    </w:p>
    <w:p w14:paraId="33941551" w14:textId="77777777" w:rsidR="00E16D30" w:rsidRPr="0082327C" w:rsidRDefault="00E16D30" w:rsidP="0082327C">
      <w:pPr>
        <w:jc w:val="both"/>
        <w:rPr>
          <w:rFonts w:ascii="Times New Roman" w:hAnsi="Times New Roman" w:cs="Times New Roman"/>
          <w:sz w:val="28"/>
          <w:szCs w:val="28"/>
        </w:rPr>
      </w:pPr>
      <w:r w:rsidRPr="0082327C">
        <w:rPr>
          <w:rFonts w:ascii="Times New Roman" w:hAnsi="Times New Roman" w:cs="Times New Roman"/>
          <w:sz w:val="28"/>
          <w:szCs w:val="28"/>
        </w:rPr>
        <w:t xml:space="preserve">Снова «сумма» – здесь дублируем предыдущий раздел, но между суммами ставим тире. </w:t>
      </w:r>
    </w:p>
    <w:p w14:paraId="530294E6" w14:textId="77777777" w:rsidR="00E16D30" w:rsidRPr="0082327C" w:rsidRDefault="00E16D30" w:rsidP="0082327C">
      <w:pPr>
        <w:jc w:val="both"/>
        <w:rPr>
          <w:rFonts w:ascii="Times New Roman" w:hAnsi="Times New Roman" w:cs="Times New Roman"/>
          <w:sz w:val="28"/>
          <w:szCs w:val="28"/>
        </w:rPr>
      </w:pPr>
      <w:r w:rsidRPr="0082327C">
        <w:rPr>
          <w:rFonts w:ascii="Times New Roman" w:hAnsi="Times New Roman" w:cs="Times New Roman"/>
          <w:sz w:val="28"/>
          <w:szCs w:val="28"/>
        </w:rPr>
        <w:t xml:space="preserve">«ИНН» – прописываем индивидуальный номер плательщика налогов только в том случае, если это юридическое лицо. </w:t>
      </w:r>
    </w:p>
    <w:p w14:paraId="2517188B" w14:textId="5870ED26" w:rsidR="00E16D30" w:rsidRPr="0082327C" w:rsidRDefault="00E16D30" w:rsidP="0082327C">
      <w:pPr>
        <w:jc w:val="both"/>
        <w:rPr>
          <w:rFonts w:ascii="Times New Roman" w:hAnsi="Times New Roman" w:cs="Times New Roman"/>
          <w:sz w:val="28"/>
          <w:szCs w:val="28"/>
        </w:rPr>
      </w:pPr>
      <w:r w:rsidRPr="0082327C">
        <w:rPr>
          <w:rFonts w:ascii="Times New Roman" w:hAnsi="Times New Roman" w:cs="Times New Roman"/>
          <w:sz w:val="28"/>
          <w:szCs w:val="28"/>
        </w:rPr>
        <w:t>Бланк мемориального ордера</w:t>
      </w:r>
      <w:r w:rsidR="007E3F79">
        <w:rPr>
          <w:rFonts w:ascii="Times New Roman" w:hAnsi="Times New Roman" w:cs="Times New Roman"/>
          <w:sz w:val="28"/>
          <w:szCs w:val="28"/>
        </w:rPr>
        <w:t xml:space="preserve"> на Рис. 4</w:t>
      </w:r>
    </w:p>
    <w:p w14:paraId="02154FF0" w14:textId="5F10220D" w:rsidR="00BC0106" w:rsidRPr="003626B9" w:rsidRDefault="00BC0106" w:rsidP="00B85155">
      <w:pPr>
        <w:spacing w:after="0" w:line="300" w:lineRule="auto"/>
        <w:ind w:left="284"/>
        <w:jc w:val="both"/>
        <w:rPr>
          <w:rStyle w:val="Hyperlink"/>
          <w:rFonts w:ascii="Times New Roman" w:hAnsi="Times New Roman" w:cs="Times New Roman"/>
          <w:bCs/>
          <w:color w:val="auto"/>
          <w:sz w:val="28"/>
          <w:szCs w:val="28"/>
          <w:u w:val="none"/>
        </w:rPr>
      </w:pPr>
    </w:p>
    <w:p w14:paraId="624225E3" w14:textId="77777777" w:rsidR="007E3F79" w:rsidRDefault="00BC0106" w:rsidP="007E3F79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  <w:u w:val="none"/>
        </w:rPr>
      </w:pPr>
      <w:r w:rsidRPr="007E3F79">
        <w:rPr>
          <w:b/>
          <w:sz w:val="32"/>
          <w:szCs w:val="32"/>
        </w:rPr>
        <w:t xml:space="preserve">Тема 7. </w:t>
      </w:r>
      <w:hyperlink r:id="rId13" w:history="1">
        <w:r w:rsidR="00683D34" w:rsidRPr="007E3F79">
          <w:rPr>
            <w:rStyle w:val="Hyperlink"/>
            <w:b/>
            <w:color w:val="auto"/>
            <w:sz w:val="32"/>
            <w:szCs w:val="32"/>
            <w:u w:val="none"/>
          </w:rPr>
          <w:t>Порядок ведения картотек</w:t>
        </w:r>
      </w:hyperlink>
    </w:p>
    <w:p w14:paraId="011BB718" w14:textId="54BC98E3" w:rsidR="00E16D30" w:rsidRPr="003626B9" w:rsidRDefault="00E16D30" w:rsidP="007E3F79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lastRenderedPageBreak/>
        <w:t>1. Картотека организаций ведется в районной комиссии и состоит из карточек учета организаций </w:t>
      </w:r>
      <w:hyperlink r:id="rId14" w:history="1">
        <w:r w:rsidRPr="003626B9">
          <w:rPr>
            <w:rStyle w:val="Hyperlink"/>
            <w:bCs/>
            <w:color w:val="auto"/>
            <w:sz w:val="28"/>
            <w:szCs w:val="28"/>
            <w:bdr w:val="none" w:sz="0" w:space="0" w:color="auto" w:frame="1"/>
          </w:rPr>
          <w:t>(форма 18)</w:t>
        </w:r>
      </w:hyperlink>
      <w:r w:rsidRPr="003626B9">
        <w:rPr>
          <w:bCs/>
          <w:sz w:val="28"/>
          <w:szCs w:val="28"/>
        </w:rPr>
        <w:t>, размещенных в алфавитном порядке по наименованиям организаций. Картотека включает два раздела:</w:t>
      </w:r>
    </w:p>
    <w:p w14:paraId="1F4BD5A6" w14:textId="77777777" w:rsidR="00E16D30" w:rsidRPr="003626B9" w:rsidRDefault="00E16D30" w:rsidP="007E3F79">
      <w:pPr>
        <w:pStyle w:val="pboth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bookmarkStart w:id="0" w:name="100627"/>
      <w:bookmarkEnd w:id="0"/>
      <w:r w:rsidRPr="003626B9">
        <w:rPr>
          <w:bCs/>
          <w:sz w:val="28"/>
          <w:szCs w:val="28"/>
        </w:rPr>
        <w:t>раздел А - организации, где ведется только воинский учет граждан, пребывающих в запасе;</w:t>
      </w:r>
    </w:p>
    <w:p w14:paraId="3B5005E5" w14:textId="77777777" w:rsidR="00E16D30" w:rsidRPr="003626B9" w:rsidRDefault="00E16D30" w:rsidP="00B85155">
      <w:pPr>
        <w:pStyle w:val="pboth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bookmarkStart w:id="1" w:name="100628"/>
      <w:bookmarkEnd w:id="1"/>
      <w:r w:rsidRPr="003626B9">
        <w:rPr>
          <w:bCs/>
          <w:sz w:val="28"/>
          <w:szCs w:val="28"/>
        </w:rPr>
        <w:t>раздел Б - организации, где ведется воинский учет и бронирование граждан, пребывающих в запасе.</w:t>
      </w:r>
    </w:p>
    <w:p w14:paraId="07FEF04F" w14:textId="77777777" w:rsidR="00E16D30" w:rsidRPr="003626B9" w:rsidRDefault="00E16D30" w:rsidP="00B85155">
      <w:pPr>
        <w:pStyle w:val="pboth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bookmarkStart w:id="2" w:name="100629"/>
      <w:bookmarkEnd w:id="2"/>
      <w:r w:rsidRPr="003626B9">
        <w:rPr>
          <w:bCs/>
          <w:sz w:val="28"/>
          <w:szCs w:val="28"/>
        </w:rPr>
        <w:t>2. Карточка учета организации заполняется и представляется в районную комиссию всеми организациями, расположенными на территории муниципального образования.</w:t>
      </w:r>
    </w:p>
    <w:p w14:paraId="5A55B4DB" w14:textId="77777777" w:rsidR="00E16D30" w:rsidRPr="003626B9" w:rsidRDefault="00E16D30" w:rsidP="00B85155">
      <w:pPr>
        <w:pStyle w:val="pboth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bookmarkStart w:id="3" w:name="100630"/>
      <w:bookmarkEnd w:id="3"/>
      <w:r w:rsidRPr="003626B9">
        <w:rPr>
          <w:bCs/>
          <w:sz w:val="28"/>
          <w:szCs w:val="28"/>
        </w:rPr>
        <w:t>3. Карточки учета организаций регистрируются в районной комиссии в журнале регистрации карточек учета организаций (с указанием номера по порядку, наименования организации, раздела картотеки, к которому отнесена организация, и даты первичной регистрации). Регистрационный номер организации соответствует порядковому номеру записи в журнале регистрации.</w:t>
      </w:r>
    </w:p>
    <w:p w14:paraId="25080B34" w14:textId="77777777" w:rsidR="00E16D30" w:rsidRPr="003626B9" w:rsidRDefault="00E16D30" w:rsidP="00B85155">
      <w:pPr>
        <w:pStyle w:val="pboth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bookmarkStart w:id="4" w:name="100631"/>
      <w:bookmarkEnd w:id="4"/>
      <w:r w:rsidRPr="003626B9">
        <w:rPr>
          <w:bCs/>
          <w:sz w:val="28"/>
          <w:szCs w:val="28"/>
        </w:rPr>
        <w:t>После отнесения организации к разделу А или Б картотеки в регистрационном номере дополнительно указывается раздел картотеки (например, 121-А).</w:t>
      </w:r>
    </w:p>
    <w:p w14:paraId="40A294F8" w14:textId="77777777" w:rsidR="00E16D30" w:rsidRPr="003626B9" w:rsidRDefault="00E16D30" w:rsidP="00B85155">
      <w:pPr>
        <w:pStyle w:val="pboth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bookmarkStart w:id="5" w:name="100632"/>
      <w:bookmarkEnd w:id="5"/>
      <w:r w:rsidRPr="003626B9">
        <w:rPr>
          <w:bCs/>
          <w:sz w:val="28"/>
          <w:szCs w:val="28"/>
        </w:rPr>
        <w:t>Карточка учета организации заполняется в двух экземплярах. На экземпляре, который остается в деле организации, в районной комиссии ставится отметка о регистрации.</w:t>
      </w:r>
    </w:p>
    <w:p w14:paraId="3839C815" w14:textId="77777777" w:rsidR="00E16D30" w:rsidRPr="003626B9" w:rsidRDefault="00E16D30" w:rsidP="00B85155">
      <w:pPr>
        <w:pStyle w:val="pboth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bookmarkStart w:id="6" w:name="100633"/>
      <w:bookmarkEnd w:id="6"/>
      <w:r w:rsidRPr="003626B9">
        <w:rPr>
          <w:bCs/>
          <w:sz w:val="28"/>
          <w:szCs w:val="28"/>
        </w:rPr>
        <w:t>4. В организациях, ведущих только воинский учет граждан, пребывающих в запасе, </w:t>
      </w:r>
      <w:hyperlink r:id="rId15" w:history="1">
        <w:r w:rsidRPr="003626B9">
          <w:rPr>
            <w:rStyle w:val="Hyperlink"/>
            <w:bCs/>
            <w:color w:val="auto"/>
            <w:sz w:val="28"/>
            <w:szCs w:val="28"/>
            <w:bdr w:val="none" w:sz="0" w:space="0" w:color="auto" w:frame="1"/>
          </w:rPr>
          <w:t>подпункт 10.2</w:t>
        </w:r>
      </w:hyperlink>
      <w:r w:rsidRPr="003626B9">
        <w:rPr>
          <w:bCs/>
          <w:sz w:val="28"/>
          <w:szCs w:val="28"/>
        </w:rPr>
        <w:t> не заполняется.</w:t>
      </w:r>
    </w:p>
    <w:p w14:paraId="1BBDAD3D" w14:textId="77777777" w:rsidR="00E16D30" w:rsidRPr="003626B9" w:rsidRDefault="00E16D30" w:rsidP="00B85155">
      <w:pPr>
        <w:pStyle w:val="pboth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bookmarkStart w:id="7" w:name="100634"/>
      <w:bookmarkEnd w:id="7"/>
      <w:r w:rsidRPr="003626B9">
        <w:rPr>
          <w:bCs/>
          <w:sz w:val="28"/>
          <w:szCs w:val="28"/>
        </w:rPr>
        <w:t>5. </w:t>
      </w:r>
      <w:hyperlink r:id="rId16" w:history="1">
        <w:r w:rsidRPr="003626B9">
          <w:rPr>
            <w:rStyle w:val="Hyperlink"/>
            <w:bCs/>
            <w:color w:val="auto"/>
            <w:sz w:val="28"/>
            <w:szCs w:val="28"/>
            <w:bdr w:val="none" w:sz="0" w:space="0" w:color="auto" w:frame="1"/>
          </w:rPr>
          <w:t>Пункт 12</w:t>
        </w:r>
      </w:hyperlink>
      <w:r w:rsidRPr="003626B9">
        <w:rPr>
          <w:bCs/>
          <w:sz w:val="28"/>
          <w:szCs w:val="28"/>
        </w:rPr>
        <w:t> заполняется только в организациях, осуществляющих бронирование граждан, пребывающих в запасе.</w:t>
      </w:r>
    </w:p>
    <w:p w14:paraId="56ABCE4E" w14:textId="77777777" w:rsidR="00E16D30" w:rsidRPr="003626B9" w:rsidRDefault="00E16D30" w:rsidP="00B85155">
      <w:pPr>
        <w:pStyle w:val="pboth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bookmarkStart w:id="8" w:name="100635"/>
      <w:bookmarkEnd w:id="8"/>
      <w:r w:rsidRPr="003626B9">
        <w:rPr>
          <w:bCs/>
          <w:sz w:val="28"/>
          <w:szCs w:val="28"/>
        </w:rPr>
        <w:t>6. В случае снятия организации с учета в районной комиссии (ликвидация организации) в </w:t>
      </w:r>
      <w:hyperlink r:id="rId17" w:history="1">
        <w:r w:rsidRPr="003626B9">
          <w:rPr>
            <w:rStyle w:val="Hyperlink"/>
            <w:bCs/>
            <w:color w:val="auto"/>
            <w:sz w:val="28"/>
            <w:szCs w:val="28"/>
            <w:bdr w:val="none" w:sz="0" w:space="0" w:color="auto" w:frame="1"/>
          </w:rPr>
          <w:t>строке</w:t>
        </w:r>
      </w:hyperlink>
      <w:r w:rsidRPr="003626B9">
        <w:rPr>
          <w:bCs/>
          <w:sz w:val="28"/>
          <w:szCs w:val="28"/>
        </w:rPr>
        <w:t> "Отметка о снятии с учета (ликвидации организации)" указываются дата и номер решения вышестоящей организации, решение ликвидационной комиссии или другие причины.</w:t>
      </w:r>
    </w:p>
    <w:p w14:paraId="35C8B5FE" w14:textId="77777777" w:rsidR="007E3F79" w:rsidRDefault="00E16D30" w:rsidP="007E3F79">
      <w:pPr>
        <w:pStyle w:val="pboth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bookmarkStart w:id="9" w:name="100636"/>
      <w:bookmarkEnd w:id="9"/>
      <w:r w:rsidRPr="003626B9">
        <w:rPr>
          <w:bCs/>
          <w:sz w:val="28"/>
          <w:szCs w:val="28"/>
        </w:rPr>
        <w:t>В ходе ведения картотеки организаций сведения в карточках учета организаций ежегодно уточняются в сроки, установленные для представления отчета.</w:t>
      </w:r>
    </w:p>
    <w:p w14:paraId="653E3EE4" w14:textId="5FCBEE74" w:rsidR="00BC0106" w:rsidRDefault="00BC0106" w:rsidP="007E3F79">
      <w:pPr>
        <w:pStyle w:val="pboth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  <w:u w:val="none"/>
        </w:rPr>
      </w:pPr>
      <w:r w:rsidRPr="007E3F79">
        <w:rPr>
          <w:b/>
          <w:sz w:val="32"/>
          <w:szCs w:val="32"/>
        </w:rPr>
        <w:lastRenderedPageBreak/>
        <w:t xml:space="preserve">8. </w:t>
      </w:r>
      <w:hyperlink r:id="rId18" w:history="1">
        <w:r w:rsidR="00683D34" w:rsidRPr="007E3F79">
          <w:rPr>
            <w:rStyle w:val="Hyperlink"/>
            <w:b/>
            <w:color w:val="auto"/>
            <w:sz w:val="32"/>
            <w:szCs w:val="32"/>
            <w:u w:val="none"/>
          </w:rPr>
          <w:t xml:space="preserve">Порядок выдачи бух. </w:t>
        </w:r>
        <w:r w:rsidR="007E3F79">
          <w:rPr>
            <w:rStyle w:val="Hyperlink"/>
            <w:b/>
            <w:color w:val="auto"/>
            <w:sz w:val="32"/>
            <w:szCs w:val="32"/>
            <w:u w:val="none"/>
          </w:rPr>
          <w:t>р</w:t>
        </w:r>
        <w:r w:rsidR="00683D34" w:rsidRPr="007E3F79">
          <w:rPr>
            <w:rStyle w:val="Hyperlink"/>
            <w:b/>
            <w:color w:val="auto"/>
            <w:sz w:val="32"/>
            <w:szCs w:val="32"/>
            <w:u w:val="none"/>
          </w:rPr>
          <w:t>аботником денежных чековых книжек и ведения учета выданных документов к выпискам из лицевых счетов и выдача клиентам выписок из лицевых счетов.</w:t>
        </w:r>
      </w:hyperlink>
    </w:p>
    <w:p w14:paraId="7B05516D" w14:textId="77777777" w:rsidR="007E3F79" w:rsidRPr="007E3F79" w:rsidRDefault="007E3F79" w:rsidP="007E3F79">
      <w:pPr>
        <w:pStyle w:val="pboth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  <w:u w:val="none"/>
        </w:rPr>
      </w:pPr>
    </w:p>
    <w:p w14:paraId="2EE6D533" w14:textId="26F4AED7" w:rsidR="00E16D30" w:rsidRPr="003626B9" w:rsidRDefault="00E16D30" w:rsidP="007E3F79">
      <w:pPr>
        <w:shd w:val="clear" w:color="auto" w:fill="FFFFFF"/>
        <w:spacing w:after="0" w:line="30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26B9">
        <w:rPr>
          <w:rStyle w:val="blk"/>
          <w:rFonts w:ascii="Times New Roman" w:hAnsi="Times New Roman" w:cs="Times New Roman"/>
          <w:bCs/>
          <w:sz w:val="28"/>
          <w:szCs w:val="28"/>
        </w:rPr>
        <w:t>1.</w:t>
      </w:r>
      <w:r w:rsidR="007E3F79">
        <w:rPr>
          <w:rStyle w:val="blk"/>
          <w:rFonts w:ascii="Times New Roman" w:hAnsi="Times New Roman" w:cs="Times New Roman"/>
          <w:bCs/>
          <w:sz w:val="28"/>
          <w:szCs w:val="28"/>
        </w:rPr>
        <w:t xml:space="preserve"> </w:t>
      </w:r>
      <w:r w:rsidRPr="003626B9">
        <w:rPr>
          <w:rStyle w:val="blk"/>
          <w:rFonts w:ascii="Times New Roman" w:hAnsi="Times New Roman" w:cs="Times New Roman"/>
          <w:bCs/>
          <w:sz w:val="28"/>
          <w:szCs w:val="28"/>
        </w:rPr>
        <w:t>Бухгалтерские операции выполняют работники, для которых выполнение таких операций закреплено должностными инструкциями (входит в должностные обязанности). В эту категорию входят работники, занятые приемом, оформлением, контролем расчетных, кассовых и других документов, отражением банковских операций по счетам бухгалтерского учета, за исключением работников, обрабатывающих информацию с применением средств автоматизации и не входящих в структуру бухгалтерского аппарата.</w:t>
      </w:r>
    </w:p>
    <w:p w14:paraId="688DDF37" w14:textId="2B5EFDFD" w:rsidR="00E16D30" w:rsidRPr="003626B9" w:rsidRDefault="00E16D30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0" w:name="dst107255"/>
      <w:bookmarkEnd w:id="10"/>
      <w:r w:rsidRPr="003626B9">
        <w:rPr>
          <w:rStyle w:val="blk"/>
          <w:rFonts w:ascii="Times New Roman" w:hAnsi="Times New Roman" w:cs="Times New Roman"/>
          <w:bCs/>
          <w:sz w:val="28"/>
          <w:szCs w:val="28"/>
        </w:rPr>
        <w:t>2. Организация работы бухгалтерского аппарата строится по принципу создания одного бухгалтерского подразделения (департамента, управления), образования специализированных отделов, объединения в отделах работников в операционные бригады, предоставления работникам прав ответственных исполнителей, которым поручается единолично оформлять и подписывать документы по выполняемому кругу операций, за исключением документов по операциям, подлежащим дополнительному контролю.</w:t>
      </w:r>
    </w:p>
    <w:p w14:paraId="25B92B15" w14:textId="77777777" w:rsidR="00E16D30" w:rsidRPr="003626B9" w:rsidRDefault="00E16D30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1" w:name="dst107256"/>
      <w:bookmarkEnd w:id="11"/>
      <w:r w:rsidRPr="003626B9">
        <w:rPr>
          <w:rStyle w:val="blk"/>
          <w:rFonts w:ascii="Times New Roman" w:hAnsi="Times New Roman" w:cs="Times New Roman"/>
          <w:bCs/>
          <w:sz w:val="28"/>
          <w:szCs w:val="28"/>
        </w:rPr>
        <w:t>Конкретные обязанности бухгалтерских работников и распределение обслуживаемых ими счетов определяют главный бухгалтер кредитной организации или по его поручению начальники отделов. Главный бухгалтер утверждает положения об отделах.</w:t>
      </w:r>
    </w:p>
    <w:p w14:paraId="4D79B45D" w14:textId="58603E90" w:rsidR="00BC0106" w:rsidRPr="006563E8" w:rsidRDefault="00E16D30" w:rsidP="00AE2E17">
      <w:pPr>
        <w:shd w:val="clear" w:color="auto" w:fill="FFFFFF"/>
        <w:spacing w:after="0" w:line="300" w:lineRule="auto"/>
        <w:ind w:left="284"/>
        <w:jc w:val="both"/>
        <w:rPr>
          <w:rStyle w:val="blk"/>
          <w:rFonts w:ascii="Times New Roman" w:hAnsi="Times New Roman" w:cs="Times New Roman"/>
          <w:bCs/>
          <w:sz w:val="28"/>
          <w:szCs w:val="28"/>
        </w:rPr>
      </w:pPr>
      <w:bookmarkStart w:id="12" w:name="dst107257"/>
      <w:bookmarkEnd w:id="12"/>
      <w:r w:rsidRPr="003626B9">
        <w:rPr>
          <w:rStyle w:val="blk"/>
          <w:rFonts w:ascii="Times New Roman" w:hAnsi="Times New Roman" w:cs="Times New Roman"/>
          <w:bCs/>
          <w:sz w:val="28"/>
          <w:szCs w:val="28"/>
        </w:rPr>
        <w:t>Распоряжения руководителя кредитной организации по ведению бухгалтерского учета и конкретные обязанности бухгалтерских работников, закрепление за ними обслуживаемых счетов, а также вносимые изменения оформляются в письменной форме.</w:t>
      </w:r>
    </w:p>
    <w:p w14:paraId="0E4D7EA4" w14:textId="25E27B9C" w:rsidR="00193CB1" w:rsidRPr="006563E8" w:rsidRDefault="006563E8" w:rsidP="00AE2E17">
      <w:pPr>
        <w:shd w:val="clear" w:color="auto" w:fill="FFFFFF"/>
        <w:spacing w:after="0" w:line="300" w:lineRule="auto"/>
        <w:ind w:left="284"/>
        <w:jc w:val="both"/>
        <w:rPr>
          <w:rStyle w:val="blk"/>
          <w:rFonts w:ascii="Times New Roman" w:hAnsi="Times New Roman" w:cs="Times New Roman"/>
          <w:bCs/>
          <w:sz w:val="28"/>
          <w:szCs w:val="28"/>
        </w:rPr>
      </w:pPr>
      <w:r w:rsidRPr="006563E8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Порядок выдачи денежных чековых книжек и их учет</w:t>
      </w:r>
      <w:r w:rsidRPr="006563E8">
        <w:rPr>
          <w:rStyle w:val="blk"/>
          <w:rFonts w:ascii="Times New Roman" w:hAnsi="Times New Roman" w:cs="Times New Roman"/>
          <w:bCs/>
          <w:sz w:val="28"/>
          <w:szCs w:val="28"/>
        </w:rPr>
        <w:t xml:space="preserve">  Рис. 4</w:t>
      </w:r>
    </w:p>
    <w:p w14:paraId="66A227D9" w14:textId="77777777" w:rsidR="00AE2E17" w:rsidRPr="003626B9" w:rsidRDefault="00AE2E17" w:rsidP="00AE2E17">
      <w:pPr>
        <w:shd w:val="clear" w:color="auto" w:fill="FFFFFF"/>
        <w:spacing w:after="0" w:line="300" w:lineRule="auto"/>
        <w:ind w:left="284"/>
        <w:jc w:val="both"/>
        <w:rPr>
          <w:rStyle w:val="Hyperlink"/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</w:p>
    <w:p w14:paraId="01FE4C05" w14:textId="14D245FB" w:rsidR="00AE2E17" w:rsidRDefault="00BC0106" w:rsidP="00AE2E17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  <w:u w:val="none"/>
        </w:rPr>
      </w:pPr>
      <w:r w:rsidRPr="00AE2E17">
        <w:rPr>
          <w:b/>
          <w:sz w:val="32"/>
          <w:szCs w:val="32"/>
        </w:rPr>
        <w:t xml:space="preserve">9. </w:t>
      </w:r>
      <w:hyperlink r:id="rId19" w:history="1">
        <w:r w:rsidR="00683D34" w:rsidRPr="00AE2E17">
          <w:rPr>
            <w:rStyle w:val="Hyperlink"/>
            <w:b/>
            <w:color w:val="auto"/>
            <w:sz w:val="32"/>
            <w:szCs w:val="32"/>
            <w:u w:val="none"/>
          </w:rPr>
          <w:t>Порядок проведения расчетных операций между банками</w:t>
        </w:r>
      </w:hyperlink>
    </w:p>
    <w:p w14:paraId="7797B34D" w14:textId="084CC213" w:rsidR="00E16D30" w:rsidRPr="003626B9" w:rsidRDefault="00E16D30" w:rsidP="00B85155">
      <w:pPr>
        <w:pStyle w:val="pboth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bookmarkStart w:id="13" w:name="100487"/>
      <w:bookmarkEnd w:id="13"/>
      <w:r w:rsidRPr="003626B9">
        <w:rPr>
          <w:bCs/>
          <w:sz w:val="28"/>
          <w:szCs w:val="28"/>
        </w:rPr>
        <w:lastRenderedPageBreak/>
        <w:t>Внутрибанковские правила должны обеспечивать составление ежедневного сводного баланса, своевременное проведение платежей и управление ликвидностью кредитной организации.</w:t>
      </w:r>
    </w:p>
    <w:p w14:paraId="11C67DEC" w14:textId="77777777" w:rsidR="00E16D30" w:rsidRPr="003626B9" w:rsidRDefault="00E16D30" w:rsidP="00B85155">
      <w:pPr>
        <w:pStyle w:val="pboth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bookmarkStart w:id="14" w:name="100489"/>
      <w:bookmarkEnd w:id="14"/>
      <w:r w:rsidRPr="003626B9">
        <w:rPr>
          <w:bCs/>
          <w:sz w:val="28"/>
          <w:szCs w:val="28"/>
        </w:rPr>
        <w:t>Внутрибанковские правила оформляются в виде отдельного документа, утверждаются исполнительным органом кредитной организации и должны содержать:</w:t>
      </w:r>
    </w:p>
    <w:p w14:paraId="06D97E69" w14:textId="03BDFA9E" w:rsidR="00E16D30" w:rsidRPr="003626B9" w:rsidRDefault="00E16D30" w:rsidP="00275EA1">
      <w:pPr>
        <w:pStyle w:val="pboth"/>
        <w:numPr>
          <w:ilvl w:val="0"/>
          <w:numId w:val="40"/>
        </w:numPr>
        <w:shd w:val="clear" w:color="auto" w:fill="FFFFFF"/>
        <w:spacing w:before="0" w:beforeAutospacing="0" w:after="0" w:afterAutospacing="0" w:line="300" w:lineRule="auto"/>
        <w:jc w:val="both"/>
        <w:rPr>
          <w:bCs/>
          <w:sz w:val="28"/>
          <w:szCs w:val="28"/>
        </w:rPr>
      </w:pPr>
      <w:bookmarkStart w:id="15" w:name="100490"/>
      <w:bookmarkEnd w:id="15"/>
      <w:r w:rsidRPr="003626B9">
        <w:rPr>
          <w:bCs/>
          <w:sz w:val="28"/>
          <w:szCs w:val="28"/>
        </w:rPr>
        <w:t>порядок открытия, закрытия и пополнения (увеличения пассивного остатка) счетов межфилиальных расчетов;</w:t>
      </w:r>
    </w:p>
    <w:p w14:paraId="60D3340C" w14:textId="2A443D37" w:rsidR="00E16D30" w:rsidRPr="003626B9" w:rsidRDefault="00E16D30" w:rsidP="00275EA1">
      <w:pPr>
        <w:pStyle w:val="pboth"/>
        <w:numPr>
          <w:ilvl w:val="0"/>
          <w:numId w:val="40"/>
        </w:numPr>
        <w:shd w:val="clear" w:color="auto" w:fill="FFFFFF"/>
        <w:spacing w:before="0" w:beforeAutospacing="0" w:after="0" w:afterAutospacing="0" w:line="300" w:lineRule="auto"/>
        <w:jc w:val="both"/>
        <w:rPr>
          <w:bCs/>
          <w:sz w:val="28"/>
          <w:szCs w:val="28"/>
        </w:rPr>
      </w:pPr>
      <w:bookmarkStart w:id="16" w:name="100491"/>
      <w:bookmarkEnd w:id="16"/>
      <w:r w:rsidRPr="003626B9">
        <w:rPr>
          <w:bCs/>
          <w:sz w:val="28"/>
          <w:szCs w:val="28"/>
        </w:rPr>
        <w:t>процедуру идентификации каждого участника расчетов в системе межфилиальных расчетов кредитной организации (системе технических, телекоммуникационных средств и организационных мероприятий, обеспечивающих возможность проведения расчетных операций между подразделениями кредитной организации) при осуществлении расчетов (обмен карточками с образцами подписей и оттиском печати, применение аналогов собственноручной подписи в виде кодов, паролей, электронной подписи и т.п.);</w:t>
      </w:r>
    </w:p>
    <w:p w14:paraId="21808927" w14:textId="4D846147" w:rsidR="00E16D30" w:rsidRPr="003626B9" w:rsidRDefault="00E16D30" w:rsidP="00275EA1">
      <w:pPr>
        <w:pStyle w:val="pboth"/>
        <w:numPr>
          <w:ilvl w:val="0"/>
          <w:numId w:val="40"/>
        </w:numPr>
        <w:shd w:val="clear" w:color="auto" w:fill="FFFFFF"/>
        <w:spacing w:before="0" w:beforeAutospacing="0" w:after="0" w:afterAutospacing="0" w:line="300" w:lineRule="auto"/>
        <w:jc w:val="both"/>
        <w:rPr>
          <w:bCs/>
          <w:sz w:val="28"/>
          <w:szCs w:val="28"/>
        </w:rPr>
      </w:pPr>
      <w:bookmarkStart w:id="17" w:name="100492"/>
      <w:bookmarkEnd w:id="17"/>
      <w:r w:rsidRPr="003626B9">
        <w:rPr>
          <w:bCs/>
          <w:sz w:val="28"/>
          <w:szCs w:val="28"/>
        </w:rPr>
        <w:t>описание документооборота, порядка передачи и обработки расчетных документов при проведении операций по счетам межфилиальных расчетов, а также последовательность прохождения документов между подразделениями кредитной организации;</w:t>
      </w:r>
    </w:p>
    <w:p w14:paraId="5B1A5A02" w14:textId="54599C38" w:rsidR="00E16D30" w:rsidRPr="003626B9" w:rsidRDefault="00E16D30" w:rsidP="00275EA1">
      <w:pPr>
        <w:pStyle w:val="pboth"/>
        <w:numPr>
          <w:ilvl w:val="0"/>
          <w:numId w:val="40"/>
        </w:numPr>
        <w:shd w:val="clear" w:color="auto" w:fill="FFFFFF"/>
        <w:spacing w:before="0" w:beforeAutospacing="0" w:after="0" w:afterAutospacing="0" w:line="300" w:lineRule="auto"/>
        <w:jc w:val="both"/>
        <w:rPr>
          <w:bCs/>
          <w:sz w:val="28"/>
          <w:szCs w:val="28"/>
        </w:rPr>
      </w:pPr>
      <w:bookmarkStart w:id="18" w:name="100493"/>
      <w:bookmarkEnd w:id="18"/>
      <w:r w:rsidRPr="003626B9">
        <w:rPr>
          <w:bCs/>
          <w:sz w:val="28"/>
          <w:szCs w:val="28"/>
        </w:rPr>
        <w:t>порядок экспедирования расчетных документов;</w:t>
      </w:r>
    </w:p>
    <w:p w14:paraId="1CFBEB73" w14:textId="73450E70" w:rsidR="00E16D30" w:rsidRPr="003626B9" w:rsidRDefault="00E16D30" w:rsidP="00275EA1">
      <w:pPr>
        <w:pStyle w:val="pboth"/>
        <w:numPr>
          <w:ilvl w:val="0"/>
          <w:numId w:val="40"/>
        </w:numPr>
        <w:shd w:val="clear" w:color="auto" w:fill="FFFFFF"/>
        <w:spacing w:before="0" w:beforeAutospacing="0" w:after="0" w:afterAutospacing="0" w:line="300" w:lineRule="auto"/>
        <w:jc w:val="both"/>
        <w:rPr>
          <w:bCs/>
          <w:sz w:val="28"/>
          <w:szCs w:val="28"/>
        </w:rPr>
      </w:pPr>
      <w:bookmarkStart w:id="19" w:name="100494"/>
      <w:bookmarkEnd w:id="19"/>
      <w:r w:rsidRPr="003626B9">
        <w:rPr>
          <w:bCs/>
          <w:sz w:val="28"/>
          <w:szCs w:val="28"/>
        </w:rPr>
        <w:t>порядок установления ДПП при проведении расчетных операций исходя из документооборота между подразделениями кредитной организации;</w:t>
      </w:r>
    </w:p>
    <w:p w14:paraId="078463C3" w14:textId="6E75A2DA" w:rsidR="00E16D30" w:rsidRPr="003626B9" w:rsidRDefault="00E16D30" w:rsidP="00275EA1">
      <w:pPr>
        <w:pStyle w:val="pboth"/>
        <w:numPr>
          <w:ilvl w:val="0"/>
          <w:numId w:val="40"/>
        </w:numPr>
        <w:shd w:val="clear" w:color="auto" w:fill="FFFFFF"/>
        <w:spacing w:before="0" w:beforeAutospacing="0" w:after="0" w:afterAutospacing="0" w:line="300" w:lineRule="auto"/>
        <w:jc w:val="both"/>
        <w:rPr>
          <w:bCs/>
          <w:sz w:val="28"/>
          <w:szCs w:val="28"/>
        </w:rPr>
      </w:pPr>
      <w:bookmarkStart w:id="20" w:name="100495"/>
      <w:bookmarkEnd w:id="20"/>
      <w:r w:rsidRPr="003626B9">
        <w:rPr>
          <w:bCs/>
          <w:sz w:val="28"/>
          <w:szCs w:val="28"/>
        </w:rPr>
        <w:t>порядок проведения расчетных операций подразделениями кредитной организации при перераспределении денежных средств;</w:t>
      </w:r>
    </w:p>
    <w:p w14:paraId="7CF3E02A" w14:textId="0B5A38FE" w:rsidR="00E16D30" w:rsidRPr="003626B9" w:rsidRDefault="00E16D30" w:rsidP="00275EA1">
      <w:pPr>
        <w:pStyle w:val="pboth"/>
        <w:numPr>
          <w:ilvl w:val="0"/>
          <w:numId w:val="40"/>
        </w:numPr>
        <w:shd w:val="clear" w:color="auto" w:fill="FFFFFF"/>
        <w:spacing w:before="0" w:beforeAutospacing="0" w:after="0" w:afterAutospacing="0" w:line="300" w:lineRule="auto"/>
        <w:jc w:val="both"/>
        <w:rPr>
          <w:bCs/>
          <w:sz w:val="28"/>
          <w:szCs w:val="28"/>
        </w:rPr>
      </w:pPr>
      <w:bookmarkStart w:id="21" w:name="100496"/>
      <w:bookmarkEnd w:id="21"/>
      <w:r w:rsidRPr="003626B9">
        <w:rPr>
          <w:bCs/>
          <w:sz w:val="28"/>
          <w:szCs w:val="28"/>
        </w:rPr>
        <w:t>порядок ежедневной выверки расчетов между подразделениями кредитной организации по счетам межфилиальных расчетов и по перераспределению денежных средств;</w:t>
      </w:r>
    </w:p>
    <w:p w14:paraId="32EBB188" w14:textId="5DF6FF5F" w:rsidR="00E16D30" w:rsidRPr="003626B9" w:rsidRDefault="00E16D30" w:rsidP="00275EA1">
      <w:pPr>
        <w:pStyle w:val="pboth"/>
        <w:numPr>
          <w:ilvl w:val="0"/>
          <w:numId w:val="40"/>
        </w:numPr>
        <w:shd w:val="clear" w:color="auto" w:fill="FFFFFF"/>
        <w:spacing w:before="0" w:beforeAutospacing="0" w:after="0" w:afterAutospacing="0" w:line="300" w:lineRule="auto"/>
        <w:jc w:val="both"/>
        <w:rPr>
          <w:bCs/>
          <w:sz w:val="28"/>
          <w:szCs w:val="28"/>
        </w:rPr>
      </w:pPr>
      <w:bookmarkStart w:id="22" w:name="100497"/>
      <w:bookmarkEnd w:id="22"/>
      <w:r w:rsidRPr="003626B9">
        <w:rPr>
          <w:bCs/>
          <w:sz w:val="28"/>
          <w:szCs w:val="28"/>
        </w:rPr>
        <w:t xml:space="preserve">периодичность и порядок урегулирования взаимной задолженности по счетам межфилиальных расчетов и по </w:t>
      </w:r>
      <w:r w:rsidRPr="003626B9">
        <w:rPr>
          <w:bCs/>
          <w:sz w:val="28"/>
          <w:szCs w:val="28"/>
        </w:rPr>
        <w:lastRenderedPageBreak/>
        <w:t>перераспределению денежных средств. Урегулирование должно осуществляться не реже одного раза в квартал;</w:t>
      </w:r>
    </w:p>
    <w:p w14:paraId="17067511" w14:textId="776CF317" w:rsidR="00E16D30" w:rsidRDefault="00E16D30" w:rsidP="00275EA1">
      <w:pPr>
        <w:pStyle w:val="pboth"/>
        <w:numPr>
          <w:ilvl w:val="0"/>
          <w:numId w:val="40"/>
        </w:numPr>
        <w:shd w:val="clear" w:color="auto" w:fill="FFFFFF"/>
        <w:spacing w:before="0" w:beforeAutospacing="0" w:after="0" w:afterAutospacing="0" w:line="300" w:lineRule="auto"/>
        <w:jc w:val="both"/>
        <w:rPr>
          <w:bCs/>
          <w:sz w:val="28"/>
          <w:szCs w:val="28"/>
        </w:rPr>
      </w:pPr>
      <w:bookmarkStart w:id="23" w:name="100498"/>
      <w:bookmarkEnd w:id="23"/>
      <w:r w:rsidRPr="003626B9">
        <w:rPr>
          <w:bCs/>
          <w:sz w:val="28"/>
          <w:szCs w:val="28"/>
        </w:rPr>
        <w:t>порядок действий подразделений кредитной организации при поступлении расчетного документа для осуществления платежа позже установленной ДПП, несвоевременном получении или неполучении подтверждений о совершении расчетной операции по техническим причинам либо в связи с возникновением форс - мажорных обстоятельств;</w:t>
      </w:r>
    </w:p>
    <w:p w14:paraId="4943B4A4" w14:textId="0C51156D" w:rsidR="00275EA1" w:rsidRDefault="00275EA1" w:rsidP="00275EA1">
      <w:pPr>
        <w:pStyle w:val="pboth"/>
        <w:numPr>
          <w:ilvl w:val="0"/>
          <w:numId w:val="40"/>
        </w:numPr>
        <w:shd w:val="clear" w:color="auto" w:fill="FFFFFF"/>
        <w:spacing w:before="0" w:beforeAutospacing="0" w:after="0" w:afterAutospacing="0" w:line="300" w:lineRule="auto"/>
        <w:jc w:val="both"/>
        <w:rPr>
          <w:bCs/>
          <w:sz w:val="28"/>
          <w:szCs w:val="28"/>
        </w:rPr>
      </w:pPr>
      <w:r w:rsidRPr="00275EA1">
        <w:rPr>
          <w:bCs/>
          <w:sz w:val="28"/>
          <w:szCs w:val="28"/>
        </w:rPr>
        <w:t>другие вопросы, регулирующие проведение расчетов внутри кредитной организации</w:t>
      </w:r>
      <w:bookmarkStart w:id="24" w:name="100499"/>
      <w:bookmarkEnd w:id="24"/>
    </w:p>
    <w:p w14:paraId="1DAF9BB1" w14:textId="77777777" w:rsidR="00275EA1" w:rsidRPr="00275EA1" w:rsidRDefault="00275EA1" w:rsidP="00275EA1">
      <w:pPr>
        <w:pStyle w:val="pboth"/>
        <w:shd w:val="clear" w:color="auto" w:fill="FFFFFF"/>
        <w:spacing w:before="0" w:beforeAutospacing="0" w:after="0" w:afterAutospacing="0" w:line="300" w:lineRule="auto"/>
        <w:jc w:val="both"/>
        <w:rPr>
          <w:rStyle w:val="Hyperlink"/>
          <w:bCs/>
          <w:color w:val="auto"/>
          <w:sz w:val="28"/>
          <w:szCs w:val="28"/>
          <w:u w:val="none"/>
        </w:rPr>
      </w:pPr>
    </w:p>
    <w:p w14:paraId="01295072" w14:textId="3560A2BB" w:rsidR="00BC0106" w:rsidRDefault="00BC0106" w:rsidP="00275EA1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  <w:u w:val="none"/>
        </w:rPr>
      </w:pPr>
      <w:r w:rsidRPr="00275EA1">
        <w:rPr>
          <w:b/>
          <w:sz w:val="32"/>
          <w:szCs w:val="32"/>
        </w:rPr>
        <w:t xml:space="preserve">10. </w:t>
      </w:r>
      <w:hyperlink r:id="rId20" w:history="1">
        <w:r w:rsidR="00683D34" w:rsidRPr="00275EA1">
          <w:rPr>
            <w:rStyle w:val="Hyperlink"/>
            <w:b/>
            <w:color w:val="auto"/>
            <w:sz w:val="32"/>
            <w:szCs w:val="32"/>
            <w:u w:val="none"/>
          </w:rPr>
          <w:t>Состав сводного платежного поручения</w:t>
        </w:r>
      </w:hyperlink>
    </w:p>
    <w:p w14:paraId="53CA6939" w14:textId="77777777" w:rsidR="00275EA1" w:rsidRPr="00275EA1" w:rsidRDefault="00275EA1" w:rsidP="00275EA1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  <w:u w:val="none"/>
        </w:rPr>
      </w:pPr>
    </w:p>
    <w:p w14:paraId="714300BE" w14:textId="3FE73F1E" w:rsidR="00E16D30" w:rsidRPr="003626B9" w:rsidRDefault="00E16D30" w:rsidP="00275EA1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Сводные платежные поручения составляются в специальной установленной форме №</w:t>
      </w:r>
      <w:r w:rsidR="00275E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0401060. В бланк платежки вписывается дополнительное слово «сводное».</w:t>
      </w:r>
    </w:p>
    <w:p w14:paraId="3280605A" w14:textId="77777777" w:rsidR="00E16D30" w:rsidRPr="003626B9" w:rsidRDefault="00E16D30" w:rsidP="00B85155">
      <w:pPr>
        <w:shd w:val="clear" w:color="auto" w:fill="FFFFFF"/>
        <w:spacing w:after="0" w:line="300" w:lineRule="auto"/>
        <w:ind w:left="28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Образец сводного платежного поручения содержит заполненные поля:</w:t>
      </w:r>
    </w:p>
    <w:p w14:paraId="01FD22C2" w14:textId="77777777" w:rsidR="00E16D30" w:rsidRPr="003626B9" w:rsidRDefault="00E16D30" w:rsidP="00B85155">
      <w:pPr>
        <w:numPr>
          <w:ilvl w:val="0"/>
          <w:numId w:val="27"/>
        </w:numPr>
        <w:shd w:val="clear" w:color="auto" w:fill="FFFFFF"/>
        <w:spacing w:after="0" w:line="300" w:lineRule="auto"/>
        <w:ind w:left="284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«плательщик» - включает наименование и место нахождения организации;</w:t>
      </w:r>
    </w:p>
    <w:p w14:paraId="672B1995" w14:textId="77777777" w:rsidR="00E16D30" w:rsidRPr="003626B9" w:rsidRDefault="00E16D30" w:rsidP="00B85155">
      <w:pPr>
        <w:numPr>
          <w:ilvl w:val="0"/>
          <w:numId w:val="27"/>
        </w:numPr>
        <w:shd w:val="clear" w:color="auto" w:fill="FFFFFF"/>
        <w:spacing w:after="0" w:line="300" w:lineRule="auto"/>
        <w:ind w:left="284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«ИНН» - не заполняется ни для плательщика, ни для получателя;</w:t>
      </w:r>
    </w:p>
    <w:p w14:paraId="7B81504E" w14:textId="77777777" w:rsidR="00E16D30" w:rsidRPr="003626B9" w:rsidRDefault="00E16D30" w:rsidP="00B85155">
      <w:pPr>
        <w:numPr>
          <w:ilvl w:val="0"/>
          <w:numId w:val="27"/>
        </w:numPr>
        <w:shd w:val="clear" w:color="auto" w:fill="FFFFFF"/>
        <w:spacing w:after="0" w:line="300" w:lineRule="auto"/>
        <w:ind w:left="284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«Счет» - корреспондирующий номер счёта;</w:t>
      </w:r>
    </w:p>
    <w:p w14:paraId="2AF2B5C0" w14:textId="77777777" w:rsidR="00E16D30" w:rsidRPr="003626B9" w:rsidRDefault="00E16D30" w:rsidP="00B85155">
      <w:pPr>
        <w:numPr>
          <w:ilvl w:val="0"/>
          <w:numId w:val="27"/>
        </w:numPr>
        <w:shd w:val="clear" w:color="auto" w:fill="FFFFFF"/>
        <w:spacing w:after="0" w:line="300" w:lineRule="auto"/>
        <w:ind w:left="284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«банк плательщика» - наименование и адрес обслуживающего банка;</w:t>
      </w:r>
    </w:p>
    <w:p w14:paraId="3C335281" w14:textId="77777777" w:rsidR="00E16D30" w:rsidRPr="003626B9" w:rsidRDefault="00E16D30" w:rsidP="00B85155">
      <w:pPr>
        <w:numPr>
          <w:ilvl w:val="0"/>
          <w:numId w:val="27"/>
        </w:numPr>
        <w:shd w:val="clear" w:color="auto" w:fill="FFFFFF"/>
        <w:spacing w:after="0" w:line="300" w:lineRule="auto"/>
        <w:ind w:left="284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«БИК» - БИК банка РФ;</w:t>
      </w:r>
    </w:p>
    <w:p w14:paraId="17F0EAD8" w14:textId="77777777" w:rsidR="00E16D30" w:rsidRPr="003626B9" w:rsidRDefault="00E16D30" w:rsidP="00B85155">
      <w:pPr>
        <w:numPr>
          <w:ilvl w:val="0"/>
          <w:numId w:val="27"/>
        </w:numPr>
        <w:shd w:val="clear" w:color="auto" w:fill="FFFFFF"/>
        <w:spacing w:after="0" w:line="300" w:lineRule="auto"/>
        <w:ind w:left="284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«вид операции» - не пишется;</w:t>
      </w:r>
    </w:p>
    <w:p w14:paraId="106E1AFE" w14:textId="77777777" w:rsidR="00E16D30" w:rsidRPr="003626B9" w:rsidRDefault="00E16D30" w:rsidP="00B85155">
      <w:pPr>
        <w:numPr>
          <w:ilvl w:val="0"/>
          <w:numId w:val="27"/>
        </w:numPr>
        <w:shd w:val="clear" w:color="auto" w:fill="FFFFFF"/>
        <w:spacing w:after="0" w:line="300" w:lineRule="auto"/>
        <w:ind w:left="284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626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«сумма» - итоговый размер перечисления прописью;</w:t>
      </w:r>
    </w:p>
    <w:p w14:paraId="206C799A" w14:textId="4FB4A3BC" w:rsidR="00BC0106" w:rsidRPr="00275EA1" w:rsidRDefault="00E16D30" w:rsidP="00885A1E">
      <w:pPr>
        <w:numPr>
          <w:ilvl w:val="0"/>
          <w:numId w:val="27"/>
        </w:numPr>
        <w:shd w:val="clear" w:color="auto" w:fill="FFFFFF"/>
        <w:spacing w:after="0" w:line="300" w:lineRule="auto"/>
        <w:ind w:left="284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275E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«назначение платежа» - обозначается количество прилагаемой документации.</w:t>
      </w:r>
    </w:p>
    <w:p w14:paraId="5FFA3411" w14:textId="77777777" w:rsidR="00275EA1" w:rsidRPr="00275EA1" w:rsidRDefault="00275EA1" w:rsidP="00275EA1">
      <w:pPr>
        <w:shd w:val="clear" w:color="auto" w:fill="FFFFFF"/>
        <w:spacing w:after="0" w:line="300" w:lineRule="auto"/>
        <w:ind w:left="284"/>
        <w:jc w:val="both"/>
        <w:rPr>
          <w:rStyle w:val="Hyperlink"/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</w:p>
    <w:p w14:paraId="7C81D465" w14:textId="723E9002" w:rsidR="00BC0106" w:rsidRDefault="00BC0106" w:rsidP="00275EA1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  <w:u w:val="none"/>
        </w:rPr>
      </w:pPr>
      <w:r w:rsidRPr="007E06A4">
        <w:rPr>
          <w:b/>
          <w:sz w:val="32"/>
          <w:szCs w:val="32"/>
        </w:rPr>
        <w:t xml:space="preserve">11. </w:t>
      </w:r>
      <w:hyperlink r:id="rId21" w:history="1">
        <w:r w:rsidR="00683D34" w:rsidRPr="007E06A4">
          <w:rPr>
            <w:rStyle w:val="Hyperlink"/>
            <w:b/>
            <w:color w:val="auto"/>
            <w:sz w:val="32"/>
            <w:szCs w:val="32"/>
            <w:u w:val="none"/>
          </w:rPr>
          <w:t>Порядок открытия и ведения счетов в иностранной валюте. Порядок проведения экспортно-импортных операций</w:t>
        </w:r>
      </w:hyperlink>
    </w:p>
    <w:p w14:paraId="652795BC" w14:textId="77777777" w:rsidR="007E06A4" w:rsidRPr="007E06A4" w:rsidRDefault="007E06A4" w:rsidP="00275EA1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  <w:u w:val="none"/>
        </w:rPr>
      </w:pPr>
    </w:p>
    <w:p w14:paraId="1BBE2386" w14:textId="46EFFE66" w:rsidR="00E16D30" w:rsidRPr="003626B9" w:rsidRDefault="00E16D30" w:rsidP="00B85155">
      <w:pPr>
        <w:pStyle w:val="Heading3"/>
        <w:shd w:val="clear" w:color="auto" w:fill="FFFFFF"/>
        <w:spacing w:before="0" w:line="300" w:lineRule="auto"/>
        <w:ind w:left="284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3626B9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Для юридических лиц</w:t>
      </w:r>
      <w:r w:rsidR="00DF776D">
        <w:rPr>
          <w:rFonts w:ascii="Times New Roman" w:hAnsi="Times New Roman" w:cs="Times New Roman"/>
          <w:bCs/>
          <w:color w:val="auto"/>
          <w:sz w:val="28"/>
          <w:szCs w:val="28"/>
        </w:rPr>
        <w:t>:</w:t>
      </w:r>
    </w:p>
    <w:p w14:paraId="686596D5" w14:textId="77777777" w:rsidR="00E16D30" w:rsidRPr="003626B9" w:rsidRDefault="00E16D30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Если в выбранном банке у компании уже имеется р/с, то для открытия дополнительных достаточно подготовить заявление, отнести его в отделение банка и заполнить предложенный договор.</w:t>
      </w:r>
    </w:p>
    <w:p w14:paraId="1C584A57" w14:textId="77777777" w:rsidR="00E16D30" w:rsidRPr="003626B9" w:rsidRDefault="00E16D30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В остальных случаях банковское учреждение запрашивает определенный пакет документов, включающий:</w:t>
      </w:r>
    </w:p>
    <w:p w14:paraId="0228A0BC" w14:textId="77777777" w:rsidR="00E16D30" w:rsidRPr="00DF776D" w:rsidRDefault="00E16D30" w:rsidP="00DF776D">
      <w:pPr>
        <w:pStyle w:val="ListParagraph"/>
        <w:numPr>
          <w:ilvl w:val="0"/>
          <w:numId w:val="42"/>
        </w:numPr>
        <w:shd w:val="clear" w:color="auto" w:fill="FFFFFF"/>
        <w:spacing w:after="0" w:line="30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776D">
        <w:rPr>
          <w:rFonts w:ascii="Times New Roman" w:hAnsi="Times New Roman" w:cs="Times New Roman"/>
          <w:bCs/>
          <w:sz w:val="28"/>
          <w:szCs w:val="28"/>
        </w:rPr>
        <w:t>уставные документы;</w:t>
      </w:r>
    </w:p>
    <w:p w14:paraId="6BAAF774" w14:textId="77777777" w:rsidR="00E16D30" w:rsidRPr="00DF776D" w:rsidRDefault="00E16D30" w:rsidP="00DF776D">
      <w:pPr>
        <w:pStyle w:val="ListParagraph"/>
        <w:numPr>
          <w:ilvl w:val="0"/>
          <w:numId w:val="42"/>
        </w:numPr>
        <w:shd w:val="clear" w:color="auto" w:fill="FFFFFF"/>
        <w:spacing w:after="0" w:line="30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776D">
        <w:rPr>
          <w:rFonts w:ascii="Times New Roman" w:hAnsi="Times New Roman" w:cs="Times New Roman"/>
          <w:bCs/>
          <w:sz w:val="28"/>
          <w:szCs w:val="28"/>
        </w:rPr>
        <w:t>свидетельство о государственной регистрации в качестве юридического лица;</w:t>
      </w:r>
    </w:p>
    <w:p w14:paraId="18E40EF6" w14:textId="77777777" w:rsidR="00E16D30" w:rsidRPr="00DF776D" w:rsidRDefault="00E16D30" w:rsidP="00DF776D">
      <w:pPr>
        <w:pStyle w:val="ListParagraph"/>
        <w:numPr>
          <w:ilvl w:val="0"/>
          <w:numId w:val="42"/>
        </w:numPr>
        <w:shd w:val="clear" w:color="auto" w:fill="FFFFFF"/>
        <w:spacing w:after="0" w:line="30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776D">
        <w:rPr>
          <w:rFonts w:ascii="Times New Roman" w:hAnsi="Times New Roman" w:cs="Times New Roman"/>
          <w:bCs/>
          <w:sz w:val="28"/>
          <w:szCs w:val="28"/>
        </w:rPr>
        <w:t>образцы подписей сотрудников, допущенных к управлению счетом;</w:t>
      </w:r>
    </w:p>
    <w:p w14:paraId="001EBA7A" w14:textId="77777777" w:rsidR="00E16D30" w:rsidRPr="00DF776D" w:rsidRDefault="00E16D30" w:rsidP="00DF776D">
      <w:pPr>
        <w:pStyle w:val="ListParagraph"/>
        <w:numPr>
          <w:ilvl w:val="0"/>
          <w:numId w:val="42"/>
        </w:numPr>
        <w:shd w:val="clear" w:color="auto" w:fill="FFFFFF"/>
        <w:spacing w:after="0" w:line="30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776D">
        <w:rPr>
          <w:rFonts w:ascii="Times New Roman" w:hAnsi="Times New Roman" w:cs="Times New Roman"/>
          <w:bCs/>
          <w:sz w:val="28"/>
          <w:szCs w:val="28"/>
        </w:rPr>
        <w:t>свидетельство о постановке на учет в госстатистике и налоговых органах.</w:t>
      </w:r>
    </w:p>
    <w:p w14:paraId="35E49C42" w14:textId="77777777" w:rsidR="00E16D30" w:rsidRPr="003626B9" w:rsidRDefault="00E16D30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Обратите внимание: все копии следует предварительно заверить у нотариуса.</w:t>
      </w:r>
    </w:p>
    <w:p w14:paraId="1E4B63D3" w14:textId="77777777" w:rsidR="00E16D30" w:rsidRPr="003626B9" w:rsidRDefault="00E16D30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В некоторых случаях банки требуют дополнительные документы, подтверждающие законность источников поступления валютных средств, а также информацию о перспективах (целях, направлениях и объеме) будущей внешнеторговой и экономической деятельности.</w:t>
      </w:r>
    </w:p>
    <w:p w14:paraId="4D416154" w14:textId="77777777" w:rsidR="00E16D30" w:rsidRPr="003626B9" w:rsidRDefault="00E16D30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Не стоит удивляться, если в списке документов появится ревизорский акт или бухгалтерский отчет за последний период, контракты и соглашения с контрагентами, подтверждающие факт перевода денег из-за рубежа в ближайшее время.</w:t>
      </w:r>
    </w:p>
    <w:p w14:paraId="603FBEE3" w14:textId="77777777" w:rsidR="00E16D30" w:rsidRPr="003626B9" w:rsidRDefault="00E16D30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Как правило, комиссии за открытие валютного счёта для компаний на РКО нет. Для новых клиентов банковские учреждения вводят сбор (около 1000 рублей), а обслуживание и интернет-банкинг предоставляют бесплатно. Об этих нюансах сотрудники учреждения предупреждают заранее.</w:t>
      </w:r>
    </w:p>
    <w:p w14:paraId="088AEF79" w14:textId="7FFF6BF6" w:rsidR="00E16D30" w:rsidRPr="003626B9" w:rsidRDefault="00E16D30" w:rsidP="00B85155">
      <w:pPr>
        <w:pStyle w:val="Heading3"/>
        <w:shd w:val="clear" w:color="auto" w:fill="FFFFFF"/>
        <w:spacing w:before="0" w:line="300" w:lineRule="auto"/>
        <w:ind w:left="284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3626B9">
        <w:rPr>
          <w:rFonts w:ascii="Times New Roman" w:hAnsi="Times New Roman" w:cs="Times New Roman"/>
          <w:bCs/>
          <w:color w:val="auto"/>
          <w:sz w:val="28"/>
          <w:szCs w:val="28"/>
        </w:rPr>
        <w:t>Для физических лиц</w:t>
      </w:r>
      <w:r w:rsidR="00DF776D">
        <w:rPr>
          <w:rFonts w:ascii="Times New Roman" w:hAnsi="Times New Roman" w:cs="Times New Roman"/>
          <w:bCs/>
          <w:color w:val="auto"/>
          <w:sz w:val="28"/>
          <w:szCs w:val="28"/>
        </w:rPr>
        <w:t>:</w:t>
      </w:r>
    </w:p>
    <w:p w14:paraId="5511A2BD" w14:textId="77777777" w:rsidR="00E16D30" w:rsidRPr="003626B9" w:rsidRDefault="00E16D30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Для открытия счёта гражданину РФ достаточно предъявить паспорт и заполнить заявление, чтобы банк предложил договор на открытие и обслуживание валютного счёта. В редких случаях для этого потребуются дополнительные документы (зависит от внутренней политики коммерческой структуры).</w:t>
      </w:r>
    </w:p>
    <w:p w14:paraId="209D05D4" w14:textId="77777777" w:rsidR="00E16D30" w:rsidRPr="003626B9" w:rsidRDefault="00E16D30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lastRenderedPageBreak/>
        <w:t>В результате по распоряжению гражданина деньги могут быть переведены:</w:t>
      </w:r>
    </w:p>
    <w:p w14:paraId="42F54F56" w14:textId="77777777" w:rsidR="00E16D30" w:rsidRPr="00DF776D" w:rsidRDefault="00E16D30" w:rsidP="00DF776D">
      <w:pPr>
        <w:pStyle w:val="ListParagraph"/>
        <w:numPr>
          <w:ilvl w:val="0"/>
          <w:numId w:val="43"/>
        </w:numPr>
        <w:shd w:val="clear" w:color="auto" w:fill="FFFFFF"/>
        <w:spacing w:after="0" w:line="30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776D">
        <w:rPr>
          <w:rFonts w:ascii="Times New Roman" w:hAnsi="Times New Roman" w:cs="Times New Roman"/>
          <w:bCs/>
          <w:sz w:val="28"/>
          <w:szCs w:val="28"/>
        </w:rPr>
        <w:t>на другие счета за границу, а также на счета магазинов, компаний, реализующих товары и услуги с оплатой в виде валюты;</w:t>
      </w:r>
    </w:p>
    <w:p w14:paraId="57F16E5B" w14:textId="77777777" w:rsidR="00E16D30" w:rsidRPr="00DF776D" w:rsidRDefault="00E16D30" w:rsidP="00DF776D">
      <w:pPr>
        <w:pStyle w:val="ListParagraph"/>
        <w:numPr>
          <w:ilvl w:val="0"/>
          <w:numId w:val="43"/>
        </w:numPr>
        <w:shd w:val="clear" w:color="auto" w:fill="FFFFFF"/>
        <w:spacing w:after="0" w:line="30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776D">
        <w:rPr>
          <w:rFonts w:ascii="Times New Roman" w:hAnsi="Times New Roman" w:cs="Times New Roman"/>
          <w:bCs/>
          <w:sz w:val="28"/>
          <w:szCs w:val="28"/>
        </w:rPr>
        <w:t>на депозиты, срочные вклады.</w:t>
      </w:r>
    </w:p>
    <w:p w14:paraId="64238A46" w14:textId="58C3A01C" w:rsidR="00BC0106" w:rsidRDefault="00E16D30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both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Как и в случае с рублевыми счетами, банки начисляют проценты исходя из условий договора. При необходимости за определенное вознаграждение банки помогают с покупкой или реализацией валютных средств (причем разница курсов на момент приобретения и списания — не более 10 %).</w:t>
      </w:r>
    </w:p>
    <w:p w14:paraId="63E23453" w14:textId="77777777" w:rsidR="00DF776D" w:rsidRPr="003626B9" w:rsidRDefault="00DF776D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both"/>
        <w:rPr>
          <w:rStyle w:val="Hyperlink"/>
          <w:bCs/>
          <w:color w:val="auto"/>
          <w:sz w:val="28"/>
          <w:szCs w:val="28"/>
        </w:rPr>
      </w:pPr>
    </w:p>
    <w:p w14:paraId="427C8AE1" w14:textId="120AEFB6" w:rsidR="00683D34" w:rsidRPr="00DF776D" w:rsidRDefault="00BC0106" w:rsidP="00DF776D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center"/>
        <w:rPr>
          <w:rStyle w:val="Hyperlink"/>
          <w:b/>
          <w:color w:val="auto"/>
          <w:sz w:val="32"/>
          <w:szCs w:val="32"/>
          <w:u w:val="none"/>
        </w:rPr>
      </w:pPr>
      <w:r w:rsidRPr="00DF776D">
        <w:rPr>
          <w:b/>
          <w:sz w:val="32"/>
          <w:szCs w:val="32"/>
        </w:rPr>
        <w:t xml:space="preserve">12. </w:t>
      </w:r>
      <w:hyperlink r:id="rId22" w:history="1">
        <w:r w:rsidR="00683D34" w:rsidRPr="00DF776D">
          <w:rPr>
            <w:rStyle w:val="Hyperlink"/>
            <w:b/>
            <w:color w:val="auto"/>
            <w:sz w:val="32"/>
            <w:szCs w:val="32"/>
            <w:u w:val="none"/>
          </w:rPr>
          <w:t>Расчеты с использованием пластиковых карт</w:t>
        </w:r>
      </w:hyperlink>
    </w:p>
    <w:p w14:paraId="72AC3C17" w14:textId="77777777" w:rsidR="00DF776D" w:rsidRPr="003626B9" w:rsidRDefault="00DF776D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both"/>
        <w:rPr>
          <w:rStyle w:val="Hyperlink"/>
          <w:bCs/>
          <w:color w:val="auto"/>
          <w:sz w:val="28"/>
          <w:szCs w:val="28"/>
        </w:rPr>
      </w:pPr>
    </w:p>
    <w:p w14:paraId="7D35E95A" w14:textId="77777777" w:rsidR="00BD624B" w:rsidRPr="003626B9" w:rsidRDefault="00BD624B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both"/>
        <w:textAlignment w:val="baseline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Как правило, банковские карты используются казенными учреждениями для осуществления расчетов по заработной плате и расчетов с подотчетными лицами. Рассмотрим подробно особенности проведения таких расчетов.</w:t>
      </w:r>
    </w:p>
    <w:p w14:paraId="1846219A" w14:textId="77777777" w:rsidR="00BD624B" w:rsidRPr="003626B9" w:rsidRDefault="00BD624B" w:rsidP="00B85155">
      <w:pPr>
        <w:pStyle w:val="Heading2"/>
        <w:shd w:val="clear" w:color="auto" w:fill="FFFFFF"/>
        <w:spacing w:before="0" w:line="300" w:lineRule="auto"/>
        <w:ind w:left="284"/>
        <w:jc w:val="both"/>
        <w:textAlignment w:val="baseline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3626B9">
        <w:rPr>
          <w:rFonts w:ascii="Times New Roman" w:hAnsi="Times New Roman" w:cs="Times New Roman"/>
          <w:bCs/>
          <w:color w:val="auto"/>
          <w:sz w:val="28"/>
          <w:szCs w:val="28"/>
        </w:rPr>
        <w:t>Перечисление заработной платы на банковские карты сотрудников</w:t>
      </w:r>
    </w:p>
    <w:p w14:paraId="5583C6D1" w14:textId="77777777" w:rsidR="00BD624B" w:rsidRPr="003626B9" w:rsidRDefault="00BD624B" w:rsidP="00B85155">
      <w:pPr>
        <w:spacing w:after="0" w:line="30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26B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 соответствии со </w:t>
      </w:r>
      <w:r w:rsidRPr="003626B9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ст. 131 ТК РФ</w:t>
      </w:r>
      <w:r w:rsidRPr="003626B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выплата заработной платы производится в денежной форме в валюте РФ (в рублях). Заработная плата выплачивается работнику, как правило, в месте выполнения им работы либо переводится в кредитную организацию, указанную в заявлении работника, на условиях, определенных коллективным договором или трудовым договором. Работник вправе заменить кредитную организацию, в которую должна быть переведена заработная плата, сообщив в письменной форме работодателю об изменении реквизитов для перевода заработной платы не позднее чем за пять рабочих дней до дня выплаты заработной платы (</w:t>
      </w:r>
      <w:r w:rsidRPr="003626B9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ст. 136 ТК РФ</w:t>
      </w:r>
      <w:r w:rsidRPr="003626B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).</w:t>
      </w:r>
    </w:p>
    <w:p w14:paraId="33AEBE2C" w14:textId="77777777" w:rsidR="00BD624B" w:rsidRPr="003626B9" w:rsidRDefault="00BD624B" w:rsidP="00B85155">
      <w:pPr>
        <w:pStyle w:val="NormalWeb"/>
        <w:shd w:val="clear" w:color="auto" w:fill="FFFFFF"/>
        <w:spacing w:before="0" w:beforeAutospacing="0" w:after="0" w:afterAutospacing="0" w:line="300" w:lineRule="auto"/>
        <w:ind w:left="284"/>
        <w:jc w:val="both"/>
        <w:textAlignment w:val="baseline"/>
        <w:rPr>
          <w:bCs/>
          <w:sz w:val="28"/>
          <w:szCs w:val="28"/>
        </w:rPr>
      </w:pPr>
      <w:r w:rsidRPr="003626B9">
        <w:rPr>
          <w:bCs/>
          <w:sz w:val="28"/>
          <w:szCs w:val="28"/>
        </w:rPr>
        <w:t>В настоящее время все больше казенных учреждений отдают предпочтение такому варианту выплаты заработной платы сотрудникам, как ее перечисление на банковские карты, открываемые работникам учреждения в рамках зарплатных проектов. И это неудивительно, поскольку данный способ выплаты денежных средств позволяет учреждению:</w:t>
      </w:r>
    </w:p>
    <w:p w14:paraId="51C27833" w14:textId="77777777" w:rsidR="00BD624B" w:rsidRPr="00DF776D" w:rsidRDefault="00BD624B" w:rsidP="00DF776D">
      <w:pPr>
        <w:pStyle w:val="ListParagraph"/>
        <w:numPr>
          <w:ilvl w:val="0"/>
          <w:numId w:val="44"/>
        </w:numPr>
        <w:shd w:val="clear" w:color="auto" w:fill="FFFFFF"/>
        <w:spacing w:after="0" w:line="30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DF776D">
        <w:rPr>
          <w:rFonts w:ascii="Times New Roman" w:hAnsi="Times New Roman" w:cs="Times New Roman"/>
          <w:bCs/>
          <w:sz w:val="28"/>
          <w:szCs w:val="28"/>
        </w:rPr>
        <w:lastRenderedPageBreak/>
        <w:t>автоматизировать и упростить процесс выдачи заработной платы;</w:t>
      </w:r>
    </w:p>
    <w:p w14:paraId="2C8A0AAE" w14:textId="77777777" w:rsidR="00BD624B" w:rsidRPr="00DF776D" w:rsidRDefault="00BD624B" w:rsidP="00DF776D">
      <w:pPr>
        <w:pStyle w:val="ListParagraph"/>
        <w:numPr>
          <w:ilvl w:val="0"/>
          <w:numId w:val="44"/>
        </w:numPr>
        <w:shd w:val="clear" w:color="auto" w:fill="FFFFFF"/>
        <w:spacing w:after="0" w:line="30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DF776D">
        <w:rPr>
          <w:rFonts w:ascii="Times New Roman" w:hAnsi="Times New Roman" w:cs="Times New Roman"/>
          <w:bCs/>
          <w:sz w:val="28"/>
          <w:szCs w:val="28"/>
        </w:rPr>
        <w:t>сократить расходы, связанные с организацией выплаты заработной платы;</w:t>
      </w:r>
    </w:p>
    <w:p w14:paraId="46C879FF" w14:textId="77777777" w:rsidR="00BD624B" w:rsidRPr="00DF776D" w:rsidRDefault="00BD624B" w:rsidP="00DF776D">
      <w:pPr>
        <w:pStyle w:val="ListParagraph"/>
        <w:numPr>
          <w:ilvl w:val="0"/>
          <w:numId w:val="44"/>
        </w:numPr>
        <w:shd w:val="clear" w:color="auto" w:fill="FFFFFF"/>
        <w:spacing w:after="0" w:line="30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DF776D">
        <w:rPr>
          <w:rFonts w:ascii="Times New Roman" w:hAnsi="Times New Roman" w:cs="Times New Roman"/>
          <w:bCs/>
          <w:sz w:val="28"/>
          <w:szCs w:val="28"/>
        </w:rPr>
        <w:t>решить вопросы, касающиеся безопасности при транспортировке и хранении наличных денежных средств;</w:t>
      </w:r>
    </w:p>
    <w:p w14:paraId="13FCFBBD" w14:textId="77777777" w:rsidR="00BD624B" w:rsidRPr="00DF776D" w:rsidRDefault="00BD624B" w:rsidP="00DF776D">
      <w:pPr>
        <w:pStyle w:val="ListParagraph"/>
        <w:numPr>
          <w:ilvl w:val="0"/>
          <w:numId w:val="44"/>
        </w:numPr>
        <w:shd w:val="clear" w:color="auto" w:fill="FFFFFF"/>
        <w:spacing w:after="0" w:line="30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DF776D">
        <w:rPr>
          <w:rFonts w:ascii="Times New Roman" w:hAnsi="Times New Roman" w:cs="Times New Roman"/>
          <w:bCs/>
          <w:sz w:val="28"/>
          <w:szCs w:val="28"/>
        </w:rPr>
        <w:t>снять необходимость депонирования не востребованных сотрудниками денежных выплат;</w:t>
      </w:r>
    </w:p>
    <w:p w14:paraId="6B523BCD" w14:textId="77777777" w:rsidR="00BD624B" w:rsidRPr="00DF776D" w:rsidRDefault="00BD624B" w:rsidP="00DF776D">
      <w:pPr>
        <w:pStyle w:val="ListParagraph"/>
        <w:numPr>
          <w:ilvl w:val="0"/>
          <w:numId w:val="44"/>
        </w:numPr>
        <w:shd w:val="clear" w:color="auto" w:fill="FFFFFF"/>
        <w:spacing w:after="0" w:line="30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DF776D">
        <w:rPr>
          <w:rFonts w:ascii="Times New Roman" w:hAnsi="Times New Roman" w:cs="Times New Roman"/>
          <w:bCs/>
          <w:sz w:val="28"/>
          <w:szCs w:val="28"/>
        </w:rPr>
        <w:t>сократить объем кассовых операций, осуществляемых бухгалтерией учреждения;</w:t>
      </w:r>
    </w:p>
    <w:p w14:paraId="4CCD25E0" w14:textId="77777777" w:rsidR="00BD624B" w:rsidRPr="00DF776D" w:rsidRDefault="00BD624B" w:rsidP="00DF776D">
      <w:pPr>
        <w:pStyle w:val="ListParagraph"/>
        <w:numPr>
          <w:ilvl w:val="0"/>
          <w:numId w:val="44"/>
        </w:numPr>
        <w:shd w:val="clear" w:color="auto" w:fill="FFFFFF"/>
        <w:spacing w:after="0" w:line="30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DF776D">
        <w:rPr>
          <w:rFonts w:ascii="Times New Roman" w:hAnsi="Times New Roman" w:cs="Times New Roman"/>
          <w:bCs/>
          <w:sz w:val="28"/>
          <w:szCs w:val="28"/>
        </w:rPr>
        <w:t>своевременно выплачивать заработную плату сотрудникам, находящимся в длительной командировке или за пределами учреждения.</w:t>
      </w:r>
    </w:p>
    <w:p w14:paraId="158AE72E" w14:textId="489AD91B" w:rsidR="003626B9" w:rsidRPr="003626B9" w:rsidRDefault="003626B9" w:rsidP="00B85155">
      <w:pPr>
        <w:spacing w:after="0" w:line="30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</w:p>
    <w:p w14:paraId="65D84EF9" w14:textId="77777777" w:rsidR="003626B9" w:rsidRPr="003626B9" w:rsidRDefault="003626B9" w:rsidP="00B85155">
      <w:pPr>
        <w:spacing w:after="0" w:line="30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26B9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0BF8B927" w14:textId="77777777" w:rsidR="003626B9" w:rsidRPr="003626B9" w:rsidRDefault="003626B9" w:rsidP="00B85155">
      <w:pPr>
        <w:spacing w:after="0" w:line="30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26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F5D3A" wp14:editId="7B208A9D">
            <wp:extent cx="5731510" cy="4911099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-zakryt-raschetnyj-schet-ip-v-sberbanke-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E756" w14:textId="77777777" w:rsidR="00073515" w:rsidRDefault="003626B9" w:rsidP="00B85155">
      <w:pPr>
        <w:spacing w:after="0" w:line="300" w:lineRule="auto"/>
        <w:ind w:left="28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626B9">
        <w:rPr>
          <w:rFonts w:ascii="Times New Roman" w:hAnsi="Times New Roman" w:cs="Times New Roman"/>
          <w:bCs/>
          <w:i/>
          <w:iCs/>
          <w:sz w:val="28"/>
          <w:szCs w:val="28"/>
        </w:rPr>
        <w:t>Рис. 1</w:t>
      </w:r>
    </w:p>
    <w:p w14:paraId="08CCBBD4" w14:textId="77777777" w:rsidR="00073515" w:rsidRDefault="00073515" w:rsidP="00B85155">
      <w:pPr>
        <w:spacing w:after="0" w:line="300" w:lineRule="auto"/>
        <w:ind w:left="28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9718C46" w14:textId="77777777" w:rsidR="00073515" w:rsidRDefault="00073515" w:rsidP="00B85155">
      <w:pPr>
        <w:spacing w:after="0" w:line="300" w:lineRule="auto"/>
        <w:ind w:left="28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626B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9664D1E" wp14:editId="3CC97A54">
            <wp:extent cx="5731510" cy="71856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6ABC" w14:textId="77777777" w:rsidR="0082327C" w:rsidRDefault="00073515" w:rsidP="00B85155">
      <w:pPr>
        <w:spacing w:after="0" w:line="300" w:lineRule="auto"/>
        <w:ind w:left="28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2</w:t>
      </w:r>
    </w:p>
    <w:p w14:paraId="08A65F54" w14:textId="77777777" w:rsidR="0082327C" w:rsidRDefault="0082327C" w:rsidP="00B85155">
      <w:pPr>
        <w:spacing w:after="0" w:line="300" w:lineRule="auto"/>
        <w:ind w:left="28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626B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62AA3E6" wp14:editId="499C767E">
            <wp:extent cx="5731510" cy="810577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AF37" w14:textId="77777777" w:rsidR="006563E8" w:rsidRDefault="0082327C" w:rsidP="00B85155">
      <w:pPr>
        <w:spacing w:after="0" w:line="300" w:lineRule="auto"/>
        <w:ind w:left="28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3</w:t>
      </w:r>
    </w:p>
    <w:p w14:paraId="6173E0E4" w14:textId="77777777" w:rsidR="006563E8" w:rsidRDefault="006563E8" w:rsidP="00B85155">
      <w:pPr>
        <w:spacing w:after="0" w:line="300" w:lineRule="auto"/>
        <w:ind w:left="28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4B9FF46" wp14:editId="79B93F00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8DC09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626B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2CC3865" wp14:editId="497EB83C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6446E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626B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FD10814" wp14:editId="0C90B158">
            <wp:extent cx="5731510" cy="4065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6B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</w:p>
    <w:p w14:paraId="1D2D51CF" w14:textId="7CCFCB35" w:rsidR="00DB0F08" w:rsidRPr="003626B9" w:rsidRDefault="006563E8" w:rsidP="00557097">
      <w:pPr>
        <w:spacing w:after="0" w:line="300" w:lineRule="auto"/>
        <w:ind w:left="284"/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4</w:t>
      </w:r>
    </w:p>
    <w:sectPr w:rsidR="00DB0F08" w:rsidRPr="003626B9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8907C" w14:textId="77777777" w:rsidR="00A955BC" w:rsidRDefault="00A955BC" w:rsidP="004E0623">
      <w:pPr>
        <w:spacing w:after="0" w:line="240" w:lineRule="auto"/>
      </w:pPr>
      <w:r>
        <w:separator/>
      </w:r>
    </w:p>
  </w:endnote>
  <w:endnote w:type="continuationSeparator" w:id="0">
    <w:p w14:paraId="5F9A4D31" w14:textId="77777777" w:rsidR="00A955BC" w:rsidRDefault="00A955BC" w:rsidP="004E0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1BD5F" w14:textId="77777777" w:rsidR="00A955BC" w:rsidRDefault="00A955BC" w:rsidP="004E0623">
      <w:pPr>
        <w:spacing w:after="0" w:line="240" w:lineRule="auto"/>
      </w:pPr>
      <w:r>
        <w:separator/>
      </w:r>
    </w:p>
  </w:footnote>
  <w:footnote w:type="continuationSeparator" w:id="0">
    <w:p w14:paraId="5EC1C1FA" w14:textId="77777777" w:rsidR="00A955BC" w:rsidRDefault="00A955BC" w:rsidP="004E0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9351794"/>
      <w:docPartObj>
        <w:docPartGallery w:val="Page Numbers (Top of Page)"/>
        <w:docPartUnique/>
      </w:docPartObj>
    </w:sdtPr>
    <w:sdtEndPr/>
    <w:sdtContent>
      <w:p w14:paraId="15298648" w14:textId="77777777" w:rsidR="00BE07C5" w:rsidRDefault="00BE07C5">
        <w:pPr>
          <w:pStyle w:val="Header"/>
          <w:jc w:val="center"/>
        </w:pPr>
        <w:r w:rsidRPr="004E06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E062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E06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4E062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5112EB3" w14:textId="77777777" w:rsidR="00BE07C5" w:rsidRDefault="00BE07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612D"/>
    <w:multiLevelType w:val="multilevel"/>
    <w:tmpl w:val="ABD8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4AF0"/>
    <w:multiLevelType w:val="hybridMultilevel"/>
    <w:tmpl w:val="302ED0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373AED"/>
    <w:multiLevelType w:val="multilevel"/>
    <w:tmpl w:val="B3D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B2DC6"/>
    <w:multiLevelType w:val="multilevel"/>
    <w:tmpl w:val="8704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D24AB"/>
    <w:multiLevelType w:val="multilevel"/>
    <w:tmpl w:val="E950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E7EE5"/>
    <w:multiLevelType w:val="multilevel"/>
    <w:tmpl w:val="E548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75E40"/>
    <w:multiLevelType w:val="multilevel"/>
    <w:tmpl w:val="1D64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4752D"/>
    <w:multiLevelType w:val="hybridMultilevel"/>
    <w:tmpl w:val="19FAE7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6430DD"/>
    <w:multiLevelType w:val="multilevel"/>
    <w:tmpl w:val="96F0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03D20"/>
    <w:multiLevelType w:val="multilevel"/>
    <w:tmpl w:val="5B0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E7FCE"/>
    <w:multiLevelType w:val="hybridMultilevel"/>
    <w:tmpl w:val="B782844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5F61AE8"/>
    <w:multiLevelType w:val="multilevel"/>
    <w:tmpl w:val="C5E2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F3936"/>
    <w:multiLevelType w:val="hybridMultilevel"/>
    <w:tmpl w:val="3DA68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E7314"/>
    <w:multiLevelType w:val="multilevel"/>
    <w:tmpl w:val="1B64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54761"/>
    <w:multiLevelType w:val="hybridMultilevel"/>
    <w:tmpl w:val="50CC1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077C1"/>
    <w:multiLevelType w:val="hybridMultilevel"/>
    <w:tmpl w:val="6D04C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73905"/>
    <w:multiLevelType w:val="multilevel"/>
    <w:tmpl w:val="7B3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26240"/>
    <w:multiLevelType w:val="hybridMultilevel"/>
    <w:tmpl w:val="DF822E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BD4F41"/>
    <w:multiLevelType w:val="hybridMultilevel"/>
    <w:tmpl w:val="6F28F15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2495AD6"/>
    <w:multiLevelType w:val="hybridMultilevel"/>
    <w:tmpl w:val="3CF259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2D0022"/>
    <w:multiLevelType w:val="hybridMultilevel"/>
    <w:tmpl w:val="1510800C"/>
    <w:lvl w:ilvl="0" w:tplc="4BCE75A0">
      <w:numFmt w:val="bullet"/>
      <w:lvlText w:val="·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779FC"/>
    <w:multiLevelType w:val="multilevel"/>
    <w:tmpl w:val="2094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905E86"/>
    <w:multiLevelType w:val="hybridMultilevel"/>
    <w:tmpl w:val="16065E00"/>
    <w:lvl w:ilvl="0" w:tplc="5EBCB75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A7B2D"/>
    <w:multiLevelType w:val="hybridMultilevel"/>
    <w:tmpl w:val="634E091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9A70A0C"/>
    <w:multiLevelType w:val="multilevel"/>
    <w:tmpl w:val="3430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DA6C64"/>
    <w:multiLevelType w:val="hybridMultilevel"/>
    <w:tmpl w:val="C274716A"/>
    <w:lvl w:ilvl="0" w:tplc="5634947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3C4235"/>
    <w:multiLevelType w:val="hybridMultilevel"/>
    <w:tmpl w:val="59185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36F4791"/>
    <w:multiLevelType w:val="hybridMultilevel"/>
    <w:tmpl w:val="90628F5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24B3E1E"/>
    <w:multiLevelType w:val="multilevel"/>
    <w:tmpl w:val="86BE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A954B7"/>
    <w:multiLevelType w:val="multilevel"/>
    <w:tmpl w:val="6204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FD2F39"/>
    <w:multiLevelType w:val="hybridMultilevel"/>
    <w:tmpl w:val="99943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100E5C"/>
    <w:multiLevelType w:val="multilevel"/>
    <w:tmpl w:val="3FA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42CB2"/>
    <w:multiLevelType w:val="multilevel"/>
    <w:tmpl w:val="CA6C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825E0A"/>
    <w:multiLevelType w:val="hybridMultilevel"/>
    <w:tmpl w:val="3F4837E2"/>
    <w:lvl w:ilvl="0" w:tplc="5EBCB75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80DCE"/>
    <w:multiLevelType w:val="hybridMultilevel"/>
    <w:tmpl w:val="B75CE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216D31"/>
    <w:multiLevelType w:val="multilevel"/>
    <w:tmpl w:val="600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4420BF"/>
    <w:multiLevelType w:val="multilevel"/>
    <w:tmpl w:val="DD1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A8562C"/>
    <w:multiLevelType w:val="hybridMultilevel"/>
    <w:tmpl w:val="075CBBDA"/>
    <w:lvl w:ilvl="0" w:tplc="9CB4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42A99"/>
    <w:multiLevelType w:val="hybridMultilevel"/>
    <w:tmpl w:val="6A8AAB26"/>
    <w:lvl w:ilvl="0" w:tplc="5EBCB75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B71DBC"/>
    <w:multiLevelType w:val="multilevel"/>
    <w:tmpl w:val="CE12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10017C"/>
    <w:multiLevelType w:val="multilevel"/>
    <w:tmpl w:val="66E4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862DC2"/>
    <w:multiLevelType w:val="hybridMultilevel"/>
    <w:tmpl w:val="323441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87B60CC"/>
    <w:multiLevelType w:val="multilevel"/>
    <w:tmpl w:val="849E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826EEB"/>
    <w:multiLevelType w:val="multilevel"/>
    <w:tmpl w:val="0706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38"/>
  </w:num>
  <w:num w:numId="4">
    <w:abstractNumId w:val="22"/>
  </w:num>
  <w:num w:numId="5">
    <w:abstractNumId w:val="33"/>
  </w:num>
  <w:num w:numId="6">
    <w:abstractNumId w:val="14"/>
  </w:num>
  <w:num w:numId="7">
    <w:abstractNumId w:val="37"/>
  </w:num>
  <w:num w:numId="8">
    <w:abstractNumId w:val="12"/>
  </w:num>
  <w:num w:numId="9">
    <w:abstractNumId w:val="20"/>
  </w:num>
  <w:num w:numId="10">
    <w:abstractNumId w:val="9"/>
  </w:num>
  <w:num w:numId="11">
    <w:abstractNumId w:val="0"/>
  </w:num>
  <w:num w:numId="12">
    <w:abstractNumId w:val="16"/>
  </w:num>
  <w:num w:numId="13">
    <w:abstractNumId w:val="28"/>
  </w:num>
  <w:num w:numId="14">
    <w:abstractNumId w:val="29"/>
  </w:num>
  <w:num w:numId="15">
    <w:abstractNumId w:val="24"/>
  </w:num>
  <w:num w:numId="16">
    <w:abstractNumId w:val="39"/>
  </w:num>
  <w:num w:numId="17">
    <w:abstractNumId w:val="40"/>
  </w:num>
  <w:num w:numId="18">
    <w:abstractNumId w:val="6"/>
  </w:num>
  <w:num w:numId="19">
    <w:abstractNumId w:val="2"/>
  </w:num>
  <w:num w:numId="20">
    <w:abstractNumId w:val="11"/>
  </w:num>
  <w:num w:numId="21">
    <w:abstractNumId w:val="35"/>
  </w:num>
  <w:num w:numId="22">
    <w:abstractNumId w:val="43"/>
  </w:num>
  <w:num w:numId="23">
    <w:abstractNumId w:val="8"/>
  </w:num>
  <w:num w:numId="24">
    <w:abstractNumId w:val="42"/>
  </w:num>
  <w:num w:numId="25">
    <w:abstractNumId w:val="4"/>
  </w:num>
  <w:num w:numId="26">
    <w:abstractNumId w:val="31"/>
  </w:num>
  <w:num w:numId="27">
    <w:abstractNumId w:val="13"/>
  </w:num>
  <w:num w:numId="28">
    <w:abstractNumId w:val="3"/>
  </w:num>
  <w:num w:numId="29">
    <w:abstractNumId w:val="32"/>
  </w:num>
  <w:num w:numId="30">
    <w:abstractNumId w:val="5"/>
  </w:num>
  <w:num w:numId="31">
    <w:abstractNumId w:val="21"/>
  </w:num>
  <w:num w:numId="32">
    <w:abstractNumId w:val="36"/>
  </w:num>
  <w:num w:numId="33">
    <w:abstractNumId w:val="7"/>
  </w:num>
  <w:num w:numId="34">
    <w:abstractNumId w:val="23"/>
  </w:num>
  <w:num w:numId="35">
    <w:abstractNumId w:val="27"/>
  </w:num>
  <w:num w:numId="36">
    <w:abstractNumId w:val="30"/>
  </w:num>
  <w:num w:numId="37">
    <w:abstractNumId w:val="17"/>
  </w:num>
  <w:num w:numId="38">
    <w:abstractNumId w:val="34"/>
  </w:num>
  <w:num w:numId="39">
    <w:abstractNumId w:val="26"/>
  </w:num>
  <w:num w:numId="40">
    <w:abstractNumId w:val="10"/>
  </w:num>
  <w:num w:numId="41">
    <w:abstractNumId w:val="19"/>
  </w:num>
  <w:num w:numId="42">
    <w:abstractNumId w:val="1"/>
  </w:num>
  <w:num w:numId="43">
    <w:abstractNumId w:val="18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8A1"/>
    <w:rsid w:val="00073515"/>
    <w:rsid w:val="000A0B49"/>
    <w:rsid w:val="0012489D"/>
    <w:rsid w:val="001269E3"/>
    <w:rsid w:val="00193CB1"/>
    <w:rsid w:val="00221CFD"/>
    <w:rsid w:val="00255582"/>
    <w:rsid w:val="00275EA1"/>
    <w:rsid w:val="00282B34"/>
    <w:rsid w:val="003626B9"/>
    <w:rsid w:val="003C1083"/>
    <w:rsid w:val="003E48A1"/>
    <w:rsid w:val="0041157F"/>
    <w:rsid w:val="00425C07"/>
    <w:rsid w:val="004807E7"/>
    <w:rsid w:val="004D33C2"/>
    <w:rsid w:val="004E0623"/>
    <w:rsid w:val="00557097"/>
    <w:rsid w:val="006563E8"/>
    <w:rsid w:val="00683D34"/>
    <w:rsid w:val="00700EA8"/>
    <w:rsid w:val="00723EAB"/>
    <w:rsid w:val="00794E1A"/>
    <w:rsid w:val="007E06A4"/>
    <w:rsid w:val="007E3F79"/>
    <w:rsid w:val="007F4678"/>
    <w:rsid w:val="007F7E09"/>
    <w:rsid w:val="0082327C"/>
    <w:rsid w:val="008C7D6A"/>
    <w:rsid w:val="009E6D82"/>
    <w:rsid w:val="00A955BC"/>
    <w:rsid w:val="00AD0FFD"/>
    <w:rsid w:val="00AD711A"/>
    <w:rsid w:val="00AE2E17"/>
    <w:rsid w:val="00B85155"/>
    <w:rsid w:val="00BC0106"/>
    <w:rsid w:val="00BD624B"/>
    <w:rsid w:val="00BE07C5"/>
    <w:rsid w:val="00D11476"/>
    <w:rsid w:val="00DB0F08"/>
    <w:rsid w:val="00DF776D"/>
    <w:rsid w:val="00E16D30"/>
    <w:rsid w:val="00E57C71"/>
    <w:rsid w:val="00EC5BB5"/>
    <w:rsid w:val="00F3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03FA"/>
  <w15:chartTrackingRefBased/>
  <w15:docId w15:val="{67A3CFD6-B063-427C-A844-C4215213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0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B0F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C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01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B4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0B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both">
    <w:name w:val="pboth"/>
    <w:basedOn w:val="Normal"/>
    <w:rsid w:val="00E1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k">
    <w:name w:val="blk"/>
    <w:basedOn w:val="DefaultParagraphFont"/>
    <w:rsid w:val="00E16D30"/>
  </w:style>
  <w:style w:type="character" w:customStyle="1" w:styleId="Heading3Char">
    <w:name w:val="Heading 3 Char"/>
    <w:basedOn w:val="DefaultParagraphFont"/>
    <w:link w:val="Heading3"/>
    <w:uiPriority w:val="9"/>
    <w:semiHidden/>
    <w:rsid w:val="00E16D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D624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E0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623"/>
  </w:style>
  <w:style w:type="paragraph" w:styleId="Footer">
    <w:name w:val="footer"/>
    <w:basedOn w:val="Normal"/>
    <w:link w:val="FooterChar"/>
    <w:uiPriority w:val="99"/>
    <w:unhideWhenUsed/>
    <w:rsid w:val="004E0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05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1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8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0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8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24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02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61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09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1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4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0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3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5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8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5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67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54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6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5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0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7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4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8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74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07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0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9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2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7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7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16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0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62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1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0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3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559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5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165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80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38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2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5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5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0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46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8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26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8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06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54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5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1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5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20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15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65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144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56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843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56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k-kolledg.blogspot.com/2019/05/blog-post_2.html" TargetMode="External"/><Relationship Id="rId13" Type="http://schemas.openxmlformats.org/officeDocument/2006/relationships/hyperlink" Target="https://sudact.ru/law/prikaz-sudebnogo-departamenta-pri-verkhovnom-sude-rf_504/instruktsiia-po-organizatsii-i-vedeniiu/prilozheniem-12/poriadok-vedeniia-kartoteki-organizatsii-i/" TargetMode="External"/><Relationship Id="rId18" Type="http://schemas.openxmlformats.org/officeDocument/2006/relationships/hyperlink" Target="http://www.consultant.ru/document/cons_doc_LAW_213488/33c5f325a907d35b93f7582d328f590d2162364f/" TargetMode="External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hyperlink" Target="https://bilderlings.com/ru/blog/scheta-v-inostrannoj-valyute-osobennosti-provedeniya-operaczij-pri-raschetah-s-zagraniczej/" TargetMode="External"/><Relationship Id="rId7" Type="http://schemas.openxmlformats.org/officeDocument/2006/relationships/hyperlink" Target="https://cyberpedia.su/9xe1d8.html" TargetMode="External"/><Relationship Id="rId12" Type="http://schemas.openxmlformats.org/officeDocument/2006/relationships/hyperlink" Target="https://fbm.ru/bukhgalteriya/ponyatie-i-naznachenie-memorialnogo-o.html" TargetMode="External"/><Relationship Id="rId17" Type="http://schemas.openxmlformats.org/officeDocument/2006/relationships/hyperlink" Target="https://sudact.ru/law/prikaz-sudebnogo-departamenta-pri-verkhovnom-sude-rf_504/instruktsiia-po-organizatsii-i-vedeniiu/prilozheniem-12/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sudact.ru/law/prikaz-sudebnogo-departamenta-pri-verkhovnom-sude-rf_504/instruktsiia-po-organizatsii-i-vedeniiu/prilozheniem-12/" TargetMode="External"/><Relationship Id="rId20" Type="http://schemas.openxmlformats.org/officeDocument/2006/relationships/hyperlink" Target="https://spmag.ru/articles/svodnoe-platezhnoe-porucheni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study.net/738301/ekonomika/formy_beznalichnyh_raschetov_harakteristika_raschetnyh_dokumentov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sudact.ru/law/prikaz-sudebnogo-departamenta-pri-verkhovnom-sude-rf_504/instruktsiia-po-organizatsii-i-vedeniiu/prilozheniem-12/" TargetMode="External"/><Relationship Id="rId23" Type="http://schemas.openxmlformats.org/officeDocument/2006/relationships/image" Target="media/image1.jpg"/><Relationship Id="rId28" Type="http://schemas.openxmlformats.org/officeDocument/2006/relationships/fontTable" Target="fontTable.xml"/><Relationship Id="rId10" Type="http://schemas.openxmlformats.org/officeDocument/2006/relationships/hyperlink" Target="https://kpsu.ru/blog/bankovskoe-delo/poryadok-otkrytiya-raschetnykh-schetov-klientam-banka/" TargetMode="External"/><Relationship Id="rId19" Type="http://schemas.openxmlformats.org/officeDocument/2006/relationships/hyperlink" Target="https://sudact.ru/law/polozhenie-o-beznalichnykh-raschetakh-v-rossiiskoi-federatsii_1/glava-2_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ktsii.net/1-17276.html" TargetMode="External"/><Relationship Id="rId14" Type="http://schemas.openxmlformats.org/officeDocument/2006/relationships/hyperlink" Target="https://sudact.ru/law/prikaz-sudebnogo-departamenta-pri-verkhovnom-sude-rf_504/instruktsiia-po-organizatsii-i-vedeniiu/prilozheniem-12/" TargetMode="External"/><Relationship Id="rId22" Type="http://schemas.openxmlformats.org/officeDocument/2006/relationships/hyperlink" Target="https://www.klerk.ru/buh/articles/429534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3722</Words>
  <Characters>21221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Лисик</dc:creator>
  <cp:keywords/>
  <dc:description/>
  <cp:lastModifiedBy>Mark Ruisdael</cp:lastModifiedBy>
  <cp:revision>7</cp:revision>
  <dcterms:created xsi:type="dcterms:W3CDTF">2020-11-19T05:56:00Z</dcterms:created>
  <dcterms:modified xsi:type="dcterms:W3CDTF">2020-11-19T08:16:00Z</dcterms:modified>
</cp:coreProperties>
</file>