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jc w:val="center"/>
        <w:rPr>
          <w:rFonts w:ascii="Anton" w:cs="Anton" w:eastAsia="Anton" w:hAnsi="Anton"/>
          <w:i w:val="1"/>
          <w:sz w:val="60"/>
          <w:szCs w:val="6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sz w:val="60"/>
          <w:szCs w:val="60"/>
          <w:shd w:fill="e0ff00" w:val="clear"/>
          <w:rtl w:val="0"/>
        </w:rPr>
        <w:t xml:space="preserve">1RA ENTREGA DEL PROYECTO FINAL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rFonts w:ascii="Anton" w:cs="Anton" w:eastAsia="Anton" w:hAnsi="Anton"/>
          <w:i w:val="1"/>
          <w:color w:val="434343"/>
          <w:sz w:val="50"/>
          <w:szCs w:val="5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jc w:val="center"/>
        <w:rPr>
          <w:rFonts w:ascii="Helvetica Neue" w:cs="Helvetica Neue" w:eastAsia="Helvetica Neue" w:hAnsi="Helvetica Neue"/>
          <w:b w:val="1"/>
          <w:color w:val="434343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6"/>
          <w:szCs w:val="36"/>
          <w:rtl w:val="0"/>
        </w:rPr>
        <w:t xml:space="preserve">Componentes: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spacing w:line="276" w:lineRule="auto"/>
        <w:ind w:left="720" w:hanging="360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Estructura inicial del simulador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spacing w:line="276" w:lineRule="auto"/>
        <w:ind w:left="720" w:hanging="360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Script inicial del simulador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ind w:left="720" w:firstLine="0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>
          <w:rFonts w:ascii="Anton" w:cs="Anton" w:eastAsia="Anton" w:hAnsi="Anton"/>
          <w:i w:val="1"/>
          <w:color w:val="434343"/>
          <w:sz w:val="40"/>
          <w:szCs w:val="4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color w:val="434343"/>
          <w:sz w:val="40"/>
          <w:szCs w:val="40"/>
          <w:shd w:fill="e0ff00" w:val="clear"/>
          <w:rtl w:val="0"/>
        </w:rPr>
        <w:t xml:space="preserve">Estructura inicial del Simulador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Didact Gothic" w:cs="Didact Gothic" w:eastAsia="Didact Gothic" w:hAnsi="Didact Gothi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Formato: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Archivos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Helvetica Neue Light" w:cs="Helvetica Neue Light" w:eastAsia="Helvetica Neue Light" w:hAnsi="Helvetica Neue Light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Objetivos del desafío: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spacing w:line="276" w:lineRule="auto"/>
        <w:ind w:left="1440" w:hanging="360"/>
        <w:jc w:val="both"/>
        <w:rPr>
          <w:rFonts w:ascii="Didact Gothic" w:cs="Didact Gothic" w:eastAsia="Didact Gothic" w:hAnsi="Didact Gothic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deberá utilizar el tag correspondiente para asociar un script JS a una página HTML. En caso de contar con conocimientos previos en HTML y CSS puede plantear los elementos iniciales correspondientes a la interfaz del simulador.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jc w:val="both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jc w:val="both"/>
        <w:rPr>
          <w:rFonts w:ascii="Anton" w:cs="Anton" w:eastAsia="Anton" w:hAnsi="Anton"/>
          <w:i w:val="1"/>
          <w:color w:val="434343"/>
          <w:sz w:val="40"/>
          <w:szCs w:val="4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color w:val="434343"/>
          <w:sz w:val="40"/>
          <w:szCs w:val="40"/>
          <w:shd w:fill="e0ff00" w:val="clear"/>
          <w:rtl w:val="0"/>
        </w:rPr>
        <w:t xml:space="preserve">Script Inicial del Simulador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Didact Gothic" w:cs="Didact Gothic" w:eastAsia="Didact Gothic" w:hAnsi="Didact Gothi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Formato: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Archivo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Objetivo del desafío: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spacing w:line="276" w:lineRule="auto"/>
        <w:ind w:left="1440" w:hanging="360"/>
        <w:jc w:val="both"/>
        <w:rPr>
          <w:rFonts w:ascii="Helvetica Neue Light" w:cs="Helvetica Neue Light" w:eastAsia="Helvetica Neue Light" w:hAnsi="Helvetica Neue Light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deberá codificar la funcionalidad inicial del simulador. Identificando el flujo de trabajo en el script en términos de captura de entradas ingresadas por el usuario, procesamiento esencial del simulador y notificación de resultados en forma de salida.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jc w:val="both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jc w:val="both"/>
        <w:rPr>
          <w:rFonts w:ascii="Didact Gothic" w:cs="Didact Gothic" w:eastAsia="Didact Gothic" w:hAnsi="Didact Gothic"/>
          <w:b w:val="1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jc w:val="center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sz w:val="40"/>
          <w:szCs w:val="40"/>
          <w:shd w:fill="e0ff00" w:val="clear"/>
          <w:rtl w:val="0"/>
        </w:rPr>
        <w:t xml:space="preserve">RÚBRICA DE EVALUACIÓN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jc w:val="center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sz w:val="40"/>
          <w:szCs w:val="40"/>
          <w:shd w:fill="e0ff00" w:val="clear"/>
          <w:rtl w:val="0"/>
        </w:rPr>
        <w:t xml:space="preserve">1RA ENTREGA DEL PROYECTO FINAL</w:t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jc w:val="center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625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3645"/>
        <w:gridCol w:w="3810"/>
        <w:gridCol w:w="4425"/>
        <w:tblGridChange w:id="0">
          <w:tblGrid>
            <w:gridCol w:w="2745"/>
            <w:gridCol w:w="3645"/>
            <w:gridCol w:w="3810"/>
            <w:gridCol w:w="442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4"/>
            <w:shd w:fill="e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40"/>
                <w:szCs w:val="40"/>
                <w:rtl w:val="0"/>
              </w:rPr>
              <w:t xml:space="preserve">RÚBRICA: CRITERIOS PARA LA 1RA ENTREGA DEL PROYECTO FINAL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Criterios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  <w:rtl w:val="0"/>
              </w:rPr>
              <w:t xml:space="preserve">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Bajo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Falta más profundización. Es confuso.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Correcto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Acorde pero con errores puntuales.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Óptimo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Es claro y pertinente.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No se simula un flujo de trabajo en términos de entrada, proceso y salida.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Entendemos a un flujo de trabajo como una secuencia ordenada de tareas dedicadas a solventar un problema.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Entradas: Uno o más valores ingresados por el usuario.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Salidas: Uno o más mensajes mostrados al usuario.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Proceso: Algoritmo cuyas instrucciones transforman las entradas en salidas esperadas.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simula un flujo de trabajo en términos de entrada,proceso y salida.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La funcionalidad es apropiada al contexto del simulador.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76" w:lineRule="auto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simula un flujo de trabajo en términos de entrada,proceso y salida.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La funcionalidad  es apropiada al contexto del simulador.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No se advierten errores de cómputo durante el procesamiento..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Interactividad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No se capturan entradas ingresadas por el usuario con prompt().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No se efectúan salidas con alert() o console.log().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capturan una o más entradas ingresadas por el usuario con prompt().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efectúan una o más salidas con alert() o console.log().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capturan una o más entradas ingresadas por el usuario con prompt().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efectúan una o más salidas con alert() o console.log().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Las salidas son coherentes en relación a los datos ingresados.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Escalabilidad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No se emplean funciones.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No se utiliza Array para para agrupar datos símiles.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declaran funciones con parámetros para definir instrucciones con una tarea específica.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emplean arrays para agrupar valores relacionados.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declaran funciones con parámetros para definir instrucciones con una tarea específica.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emplean arrays para agrupar valores relacionados.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definen objetos con propiedades y métodos relevantes al contexto. 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Integridad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define el código JavaScript dentro del documento HTML.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define el código JavaScript en un archivo .js, 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referenciándolo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 correctamente desde el HTML.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define el código JavaScript en un archivo .js, 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referenciándolo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 correctamente desde el HTML.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emplea correctamente prompt() y alert() sin generar interrupciones del procesamiento.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Legibilidad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No se establece un criterio de claridad en la definición de variables, funciones y objetos.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Los nombres de variables. funciones y objetos son significativos para el contexto.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Los nombres de variables. funciones y objetos son significativos para el contexto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Las instrucciones se escriben de forma legible y se emplean comentarios oportunos.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Entendemos al código legible como aquel que está correctamente estructurado, preferentemente alineado e indentado. 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spacing w:line="276" w:lineRule="auto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ton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Didact Gothic">
    <w:embedRegular w:fontKey="{00000000-0000-0000-0000-000000000000}" r:id="rId6" w:subsetted="0"/>
  </w:font>
  <w:font w:name="Helvetica Neue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Helvetica Neue Light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e0ff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HelveticaNeueLight-regular.ttf"/><Relationship Id="rId10" Type="http://schemas.openxmlformats.org/officeDocument/2006/relationships/font" Target="fonts/HelveticaNeue-boldItalic.ttf"/><Relationship Id="rId13" Type="http://schemas.openxmlformats.org/officeDocument/2006/relationships/font" Target="fonts/HelveticaNeueLight-italic.ttf"/><Relationship Id="rId12" Type="http://schemas.openxmlformats.org/officeDocument/2006/relationships/font" Target="fonts/HelveticaNeueLight-bold.ttf"/><Relationship Id="rId1" Type="http://schemas.openxmlformats.org/officeDocument/2006/relationships/font" Target="fonts/Anton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9" Type="http://schemas.openxmlformats.org/officeDocument/2006/relationships/font" Target="fonts/HelveticaNeue-italic.ttf"/><Relationship Id="rId14" Type="http://schemas.openxmlformats.org/officeDocument/2006/relationships/font" Target="fonts/HelveticaNeueLight-boldItalic.ttf"/><Relationship Id="rId5" Type="http://schemas.openxmlformats.org/officeDocument/2006/relationships/font" Target="fonts/Roboto-boldItalic.ttf"/><Relationship Id="rId6" Type="http://schemas.openxmlformats.org/officeDocument/2006/relationships/font" Target="fonts/DidactGothic-regular.ttf"/><Relationship Id="rId7" Type="http://schemas.openxmlformats.org/officeDocument/2006/relationships/font" Target="fonts/HelveticaNeue-regular.ttf"/><Relationship Id="rId8" Type="http://schemas.openxmlformats.org/officeDocument/2006/relationships/font" Target="fonts/HelveticaNeu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