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 w:line="360" w:lineRule="auto"/>
        <w:ind/>
        <w:rPr>
          <w:rFonts w:ascii="DFKai-SB" w:hAnsi="DFKai-SB" w:eastAsia="DFKai-SB" w:cs="DFKai-SB"/>
          <w:sz w:val="28"/>
          <w:szCs w:val="28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sz w:val="40"/>
          <w:szCs w:val="40"/>
        </w:rPr>
      </w:pP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後疫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情時代台北市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購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買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不動產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趨勢與偏好</w:t>
      </w:r>
      <w:r>
        <w:rPr>
          <w:rFonts w:ascii="標楷體" w:hAnsi="標楷體" w:eastAsia="標楷體" w:cs="標楷體"/>
          <w:sz w:val="40"/>
          <w:szCs w:val="40"/>
        </w:rPr>
      </w:r>
      <w:r>
        <w:rPr>
          <w:rFonts w:ascii="標楷體" w:hAnsi="標楷體" w:eastAsia="標楷體" w:cs="標楷體"/>
          <w:sz w:val="40"/>
          <w:szCs w:val="40"/>
        </w:rPr>
      </w:r>
    </w:p>
    <w:p>
      <w:pPr>
        <w:pBdr/>
        <w:spacing w:line="360" w:lineRule="auto"/>
        <w:ind/>
        <w:rPr>
          <w:rFonts w:ascii="標楷體" w:hAnsi="標楷體" w:cs="標楷體"/>
          <w:sz w:val="40"/>
          <w:szCs w:val="40"/>
          <w:highlight w:val="none"/>
        </w:rPr>
      </w:pP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40"/>
          <w:szCs w:val="40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    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K-means分析與市場動</w:t>
      </w:r>
      <w:r>
        <w:rPr>
          <w:rFonts w:ascii="標楷體" w:hAnsi="標楷體" w:eastAsia="標楷體" w:cs="標楷體"/>
          <w:sz w:val="36"/>
          <w:szCs w:val="36"/>
          <w:rtl w:val="0"/>
        </w:rPr>
        <w:t xml:space="preserve">態</w:t>
      </w:r>
      <w:r>
        <w:rPr>
          <w:rFonts w:ascii="標楷體" w:hAnsi="標楷體" w:cs="標楷體"/>
          <w:sz w:val="40"/>
          <w:szCs w:val="40"/>
          <w:highlight w:val="none"/>
        </w:rPr>
      </w:r>
      <w:r>
        <w:rPr>
          <w:rFonts w:ascii="標楷體" w:hAnsi="標楷體" w:cs="標楷體"/>
          <w:sz w:val="40"/>
          <w:szCs w:val="40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8"/>
          <w:szCs w:val="28"/>
        </w:rPr>
      </w:pPr>
      <w:r>
        <w:rPr>
          <w:rFonts w:ascii="DFKai-SB" w:hAnsi="DFKai-SB" w:eastAsia="DFKai-SB" w:cs="DFKai-SB"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sz w:val="28"/>
          <w:szCs w:val="28"/>
        </w:rPr>
      </w:r>
      <w:r>
        <w:rPr>
          <w:rFonts w:ascii="DFKai-SB" w:hAnsi="DFKai-SB" w:eastAsia="DFKai-SB" w:cs="DFKai-SB"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rtl w:val="0"/>
        </w:rPr>
        <w:t xml:space="preserve">研究背景與動機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近年來，台北市作為台灣的經濟和文化中心，其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不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動產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市場的發展一直受到廣泛關注。在人口集中、土地供應有限的情況下，房價長期居高不下，特別是在 COVID-19 疫情後，房地產市場的趨勢發生了新的變化。全球通貨膨脹的壓力、利率政策的調整，以及房地產稅制改革的影響，均為台北市房地產價格的變化帶來挑戰與機遇。此外，數位化時代的來臨，也為消費者行為分析提供了新的數據支持與技術可能性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　　因此，本研究欲分析台北市後疫情時代的房市動態，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探索消費者對房屋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條件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需求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和地段的偏好，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利用集群分析（K-means）識別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為房市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業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著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以及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建商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找到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購屋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族群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消費模式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此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外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rtl w:val="0"/>
        </w:rPr>
        <w:t xml:space="preserve">根據</w:t>
      </w:r>
      <w:r>
        <w:rPr>
          <w:rFonts w:ascii="DFKai-SB" w:hAnsi="DFKai-SB" w:eastAsia="DFKai-SB" w:cs="DFKai-SB"/>
          <w:b w:val="0"/>
          <w:bCs w:val="0"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以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Tabuleau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展示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並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內建條件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篩選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功能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建商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可根據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篩選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在有限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資金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下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找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可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能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會賣出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地段進行精準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投資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有助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於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提升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成交量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4773000</wp:posOffset>
                </wp:positionH>
                <wp:positionV relativeFrom="paragraph">
                  <wp:posOffset>399461</wp:posOffset>
                </wp:positionV>
                <wp:extent cx="1590675" cy="3653838"/>
                <wp:effectExtent l="3175" t="3175" r="3175" b="3175"/>
                <wp:wrapNone/>
                <wp:docPr id="1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590674" cy="365383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</w:rPr>
                              <w:t xml:space="preserve">Tabuleau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28"/>
                                <w:szCs w:val="28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中位數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總價元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購買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價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格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來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去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猜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測各地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區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大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多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購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買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</w:rPr>
                              <w:t xml:space="preserve">的預算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sz w:val="24"/>
                                <w:szCs w:val="24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2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客戶預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算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以及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空間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需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求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找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出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適合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建商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營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造的地段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3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客群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結果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呈現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在地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段</w:t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上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可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根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據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地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段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  <w:t xml:space="preserve">篩選</w:t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 w:val="0"/>
                                <w:bCs w:val="0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0" o:spid="_x0000_s0" o:spt="202" type="#_x0000_t202" style="position:absolute;z-index:60416;o:allowoverlap:true;o:allowincell:true;mso-position-horizontal-relative:text;margin-left:375.83pt;mso-position-horizontal:absolute;mso-position-vertical-relative:text;margin-top:31.45pt;mso-position-vertical:absolute;width:125.25pt;height:287.70pt;mso-wrap-distance-left:9.07pt;mso-wrap-distance-top:0.00pt;mso-wrap-distance-right:9.07pt;mso-wrap-distance-bottom:0.00pt;rotation:0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</w:rPr>
                        <w:t xml:space="preserve">Tabuleau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28"/>
                          <w:szCs w:val="28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中位數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總價元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購買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價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格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來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去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猜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測各地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區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大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多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購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買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</w:rPr>
                        <w:t xml:space="preserve">的預算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r>
                      <w:r>
                        <w:rPr>
                          <w:rFonts w:ascii="標楷體" w:hAnsi="標楷體" w:cs="標楷體"/>
                          <w:sz w:val="24"/>
                          <w:szCs w:val="24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2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客戶預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算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以及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空間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需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求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找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出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適合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建商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營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造的地段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3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客群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結果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呈現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在地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段</w:t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上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可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根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據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地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段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  <w:t xml:space="preserve">篩選</w:t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 w:val="0"/>
                          <w:bCs w:val="0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  <w:t xml:space="preserve">研究</w:t>
      </w: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  <w:t xml:space="preserve">流程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-132375</wp:posOffset>
                </wp:positionH>
                <wp:positionV relativeFrom="paragraph">
                  <wp:posOffset>464942</wp:posOffset>
                </wp:positionV>
                <wp:extent cx="1504950" cy="3588358"/>
                <wp:effectExtent l="3175" t="3175" r="3175" b="3175"/>
                <wp:wrapNone/>
                <wp:docPr id="2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flipH="0" flipV="0">
                          <a:off x="0" y="0"/>
                          <a:ext cx="1504949" cy="3588357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資料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</w:rPr>
                              <w:t xml:space="preserve">處理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資料轉換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料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條件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提取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2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異常值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刪除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3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資料合併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4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資料標準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1" o:spid="_x0000_s1" o:spt="202" type="#_x0000_t202" style="position:absolute;z-index:60416;o:allowoverlap:true;o:allowincell:true;mso-position-horizontal-relative:text;margin-left:-10.42pt;mso-position-horizontal:absolute;mso-position-vertical-relative:text;margin-top:36.61pt;mso-position-vertical:absolute;width:118.50pt;height:282.55pt;mso-wrap-distance-left:9.07pt;mso-wrap-distance-top:0.00pt;mso-wrap-distance-right:9.07pt;mso-wrap-distance-bottom:0.00pt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</w:rPr>
                        <w:t xml:space="preserve">資料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</w:rPr>
                        <w:t xml:space="preserve">處理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資料轉換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料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條件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提取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2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異常值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刪除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3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資料合併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4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資料標準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0416" behindDoc="0" locked="0" layoutInCell="1" allowOverlap="1">
                <wp:simplePos x="0" y="0"/>
                <wp:positionH relativeFrom="column">
                  <wp:posOffset>2296500</wp:posOffset>
                </wp:positionH>
                <wp:positionV relativeFrom="paragraph">
                  <wp:posOffset>399461</wp:posOffset>
                </wp:positionV>
                <wp:extent cx="1638300" cy="3653838"/>
                <wp:effectExtent l="3175" t="3175" r="3175" b="3175"/>
                <wp:wrapNone/>
                <wp:docPr id="3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0" flipH="0" flipV="0">
                          <a:off x="0" y="0"/>
                          <a:ext cx="1638299" cy="3653838"/>
                        </a:xfrm>
                        <a:prstGeom prst="rect">
                          <a:avLst/>
                        </a:prstGeom>
                        <a:solidFill>
                          <a:schemeClr val="accent5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  <w:t xml:space="preserve">K-means</w:t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b/>
                                <w:bCs/>
                                <w:sz w:val="32"/>
                                <w:szCs w:val="32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1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使用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群內變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異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量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Silhouette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score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找出最佳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分群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數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2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使用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堆疊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式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長條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散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佈圖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，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瞭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解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客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3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、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歸納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總結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客群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  <w:p>
                            <w:pPr>
                              <w:pBdr/>
                              <w:spacing/>
                              <w:ind/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pP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  <w:t xml:space="preserve"> </w:t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  <w:r>
                              <w:rPr>
                                <w:rFonts w:ascii="標楷體" w:hAnsi="標楷體" w:eastAsia="標楷體" w:cs="標楷體"/>
                                <w:sz w:val="24"/>
                                <w:szCs w:val="24"/>
                                <w:highlight w:val="none"/>
                              </w:rPr>
                            </w:r>
                          </w:p>
                        </w:txbxContent>
                      </wps:txbx>
                      <wps:bodyPr vertOverflow="overflow" horzOverflow="overflow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2" o:spid="_x0000_s2" o:spt="202" type="#_x0000_t202" style="position:absolute;z-index:60416;o:allowoverlap:true;o:allowincell:true;mso-position-horizontal-relative:text;margin-left:180.83pt;mso-position-horizontal:absolute;mso-position-vertical-relative:text;margin-top:31.45pt;mso-position-vertical:absolute;width:129.00pt;height:287.70pt;mso-wrap-distance-left:9.07pt;mso-wrap-distance-top:0.00pt;mso-wrap-distance-right:9.07pt;mso-wrap-distance-bottom:0.00pt;rotation:0;v-text-anchor:top;visibility:visible;" fillcolor="#4BACC6" strokecolor="#000000" strokeweight="0.50pt"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  <w:t xml:space="preserve">K-means</w:t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b/>
                          <w:bCs/>
                          <w:sz w:val="32"/>
                          <w:szCs w:val="32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1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使用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群內變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異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量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Silhouette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score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找出最佳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分群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數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2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使用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堆疊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式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長條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散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佈圖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，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瞭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解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客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3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、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歸納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總結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客群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  <w:p>
                      <w:pPr>
                        <w:pBdr/>
                        <w:spacing/>
                        <w:ind/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pP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  <w:t xml:space="preserve"> </w:t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  <w:r>
                        <w:rPr>
                          <w:rFonts w:ascii="標楷體" w:hAnsi="標楷體" w:eastAsia="標楷體" w:cs="標楷體"/>
                          <w:sz w:val="24"/>
                          <w:szCs w:val="24"/>
                          <w:highlight w:val="none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6"/>
          <w:szCs w:val="36"/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3991950</wp:posOffset>
                </wp:positionH>
                <wp:positionV relativeFrom="paragraph">
                  <wp:posOffset>376719</wp:posOffset>
                </wp:positionV>
                <wp:extent cx="714375" cy="462944"/>
                <wp:effectExtent l="4762" t="4762" r="4762" b="4762"/>
                <wp:wrapNone/>
                <wp:docPr id="4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0" flipH="0" flipV="0">
                          <a:off x="0" y="0"/>
                          <a:ext cx="714373" cy="462942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5"/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jc w:val="center"/>
                              <w:rPr/>
                            </w:pPr>
                            <w:r/>
                            <w:r/>
                          </w:p>
                        </w:txbxContent>
                      </wps:txbx>
                      <wps:bodyPr anchor="ctr"/>
                    </wps:wsp>
                  </a:graphicData>
                </a:graphic>
              </wp:anchor>
            </w:drawing>
          </mc:Choice>
          <mc:Fallback>
            <w:pict>
              <v:shape id="shape 3" o:spid="_x0000_s3" o:spt="13" type="#_x0000_t13" style="position:absolute;z-index:62464;o:allowoverlap:true;o:allowincell:true;mso-position-horizontal-relative:text;margin-left:314.33pt;mso-position-horizontal:absolute;mso-position-vertical-relative:text;margin-top:29.66pt;mso-position-vertical:absolute;width:56.25pt;height:36.45pt;mso-wrap-distance-left:9.07pt;mso-wrap-distance-top:0.00pt;mso-wrap-distance-right:9.07pt;mso-wrap-distance-bottom:0.00pt;rotation:0;v-text-anchor:middle;visibility:visible;" fillcolor="#4BACC6" strokecolor="#4BACC6" strokeweight="0.75pt">
                <v:stroke dashstyle="solid"/>
                <v:textbox inset="0,0,0,0">
                  <w:txbxContent>
                    <w:p>
                      <w:pPr>
                        <w:pBdr/>
                        <w:spacing/>
                        <w:ind/>
                        <w:jc w:val="center"/>
                        <w:rPr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62464" behindDoc="0" locked="0" layoutInCell="1" allowOverlap="1">
                <wp:simplePos x="0" y="0"/>
                <wp:positionH relativeFrom="column">
                  <wp:posOffset>1544025</wp:posOffset>
                </wp:positionH>
                <wp:positionV relativeFrom="paragraph">
                  <wp:posOffset>363029</wp:posOffset>
                </wp:positionV>
                <wp:extent cx="666750" cy="462944"/>
                <wp:effectExtent l="4762" t="4762" r="4762" b="4762"/>
                <wp:wrapNone/>
                <wp:docPr id="5" name="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0" flipV="0">
                          <a:off x="0" y="0"/>
                          <a:ext cx="666748" cy="462942"/>
                        </a:xfrm>
                        <a:prstGeom prst="right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chemeClr val="accent5"/>
                        </a:solidFill>
                        <a:ln w="9525" cap="flat" cmpd="sng" algn="ctr">
                          <a:solidFill>
                            <a:schemeClr val="accent5"/>
                          </a:solidFill>
                          <a:prstDash val="solid"/>
                        </a:ln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4" o:spid="_x0000_s4" o:spt="13" type="#_x0000_t13" style="position:absolute;z-index:62464;o:allowoverlap:true;o:allowincell:true;mso-position-horizontal-relative:text;margin-left:121.58pt;mso-position-horizontal:absolute;mso-position-vertical-relative:text;margin-top:28.58pt;mso-position-vertical:absolute;width:52.50pt;height:36.45pt;mso-wrap-distance-left:9.07pt;mso-wrap-distance-top:0.00pt;mso-wrap-distance-right:9.07pt;mso-wrap-distance-bottom:0.00pt;visibility:visible;" fillcolor="#4BACC6" strokecolor="#4BACC6" strokeweight="0.75pt">
                <v:stroke dashstyle="solid"/>
              </v:shape>
            </w:pict>
          </mc:Fallback>
        </mc:AlternateContent>
      </w:r>
      <w:r>
        <w:rPr>
          <w:highlight w:val="none"/>
        </w:rPr>
        <w:t xml:space="preserve">\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 w:after="240" w:before="240"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/>
        <w:ind/>
        <w:rPr/>
      </w:pPr>
      <w:r/>
      <w:r/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呈現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pP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資料來源</w:t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r>
      <w:r>
        <w:rPr>
          <w:rFonts w:ascii="DFKai-SB" w:hAnsi="DFKai-SB" w:eastAsia="DFKai-SB" w:cs="DFKai-SB"/>
          <w:b/>
          <w:bCs w:val="0"/>
          <w:i w:val="0"/>
          <w:smallCaps w:val="0"/>
          <w:strike w:val="0"/>
          <w:color w:val="000000"/>
          <w:sz w:val="28"/>
          <w:szCs w:val="28"/>
          <w:highlight w:val="none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 </w:t>
      </w: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color="auto" w:fill="auto"/>
          <w:vertAlign w:val="baseline"/>
          <w:rtl w:val="0"/>
        </w:rPr>
        <w:t xml:space="preserve">本次研究的資料來自內政部不動產交易實價查詢服務網，取其中台北市在民國112年至113年的不動產買賣交易資料。</w:t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360"/>
        <w:jc w:val="left"/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>
        <w:rPr>
          <w:rFonts w:ascii="DFKai-SB" w:hAnsi="DFKai-SB" w:eastAsia="DFKai-SB" w:cs="DFKai-SB"/>
          <w:b w:val="0"/>
          <w:i w:val="0"/>
          <w:smallCaps w:val="0"/>
          <w:strike w:val="0"/>
          <w:color w:val="000000"/>
          <w:sz w:val="24"/>
          <w:szCs w:val="24"/>
          <w:highlight w:val="none"/>
          <w:u w:val="none"/>
          <w:shd w:val="clear" w:color="auto" w:fill="auto"/>
          <w:vertAlign w:val="baseline"/>
          <w:rtl w:val="0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  <w:r>
        <w:rPr>
          <w:rFonts w:ascii="DFKai-SB" w:hAnsi="DFKai-SB" w:eastAsia="DFKai-SB" w:cs="DFKai-SB"/>
          <w:b w:val="0"/>
          <w:bCs w:val="0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pP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  <w:rtl w:val="0"/>
        </w:rPr>
        <w:t xml:space="preserve">資料結構</w:t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r>
      <w:r>
        <w:rPr>
          <w:rFonts w:ascii="DFKai-SB" w:hAnsi="DFKai-SB" w:eastAsia="DFKai-SB" w:cs="DFKai-SB"/>
          <w:b/>
          <w:bCs/>
          <w:i w:val="0"/>
          <w:smallCaps w:val="0"/>
          <w:strike w:val="0"/>
          <w:color w:val="000000"/>
          <w:sz w:val="28"/>
          <w:szCs w:val="28"/>
          <w:u w:val="none"/>
          <w:shd w:val="clear" w:color="auto" w:fill="auto"/>
          <w:vertAlign w:val="baseli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房屋特徵：建物型態、主要建材、建物現況格局-房、建物現況格局-廳、建物現況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格局-衛、建物現況格局-隔間、主建物面積、附屬建物面積、陽台面積、電梯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44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hanging="36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交易資訊：交易標的、移轉層次、交易筆棟數、總樓層數、主要用途、建築完成年月、交易年月日、土地移轉總面積平方公尺、建物移轉總面積平方公尺、總價元、單價元平方公尺、車位類別、車位移轉總面積平方公尺、車位總價元、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有無管理組織、</w:t>
      </w: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備註、編號、移轉編號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firstLine="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numPr>
          <w:ilvl w:val="0"/>
          <w:numId w:val="44"/>
        </w:num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 w:hanging="360" w:left="108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color w:val="000000"/>
          <w:sz w:val="24"/>
          <w:szCs w:val="24"/>
          <w:rtl w:val="0"/>
        </w:rPr>
        <w:t xml:space="preserve">區域特徵：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鄉鎮市區、土地位置建物門牌、都市土地使用分區、非都市土地使用分區、非都市土地使用編定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敘述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88"/>
        <w:tblpPr w:horzAnchor="text" w:tblpX="15" w:vertAnchor="text" w:tblpY="1" w:leftFromText="180" w:topFromText="180" w:rightFromText="180" w:bottomFromText="180"/>
        <w:tblW w:w="907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3030"/>
        <w:gridCol w:w="3165"/>
        <w:gridCol w:w="2880"/>
      </w:tblGrid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變數名稱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總樣本數=37220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遺失值佔比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都市土地使用分區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1090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2.9%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非都市土地使用分區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37219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99.9%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非都市土地使用編定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37220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100%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移轉層次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13.3%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總樓層數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4990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13.4%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主要用途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5892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15.8%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主要建材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4960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13.3%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建築完成年月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數值變數；遺失值=6101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16.4%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單價元平方公尺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數值變數；遺失值=1770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車位類別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27107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72.8%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備註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類別變數；遺失值=</w:t>
            </w:r>
            <w:r>
              <w:rPr>
                <w:rtl w:val="0"/>
              </w:rPr>
              <w:t xml:space="preserve"> </w:t>
            </w: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11352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30.5%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625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移轉編號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數值變數；遺失值=22959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61.7%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keepNext w:val="false"/>
        <w:keepLines w:val="false"/>
        <w:pageBreakBefore w:val="false"/>
        <w:widowControl w:val="true"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between w:val="none" w:color="000000" w:sz="0" w:space="0"/>
        </w:pBdr>
        <w:shd w:val="clear" w:color="auto" w:fill="auto"/>
        <w:spacing w:after="0" w:before="0" w:line="360" w:lineRule="auto"/>
        <w:ind w:right="0"/>
        <w:jc w:val="left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資料處理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tabs>
          <w:tab w:val="left" w:leader="none" w:pos="2477"/>
        </w:tabs>
        <w:spacing w:line="360" w:lineRule="auto"/>
        <w:ind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32"/>
          <w:szCs w:val="32"/>
          <w:highlight w:val="none"/>
          <w:rtl w:val="0"/>
        </w:rPr>
        <w:t xml:space="preserve"> </w:t>
      </w:r>
      <w:r>
        <w:rPr>
          <w:rFonts w:hint="default" w:ascii="標楷體" w:hAnsi="標楷體" w:eastAsia="標楷體" w:cs="標楷體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sz w:val="24"/>
          <w:szCs w:val="24"/>
          <w:highlight w:val="white"/>
          <w:rtl w:val="0"/>
        </w:rPr>
        <w:t xml:space="preserve">重複值檢查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:</w:t>
      </w:r>
      <w:r>
        <w:rPr>
          <w:rFonts w:ascii="標楷體" w:hAnsi="標楷體" w:eastAsia="標楷體" w:cs="標楷體"/>
          <w:b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white"/>
          <w:rtl w:val="0"/>
        </w:rPr>
        <w:t xml:space="preserve">確認無重複記錄</w:t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numPr>
          <w:ilvl w:val="0"/>
          <w:numId w:val="45"/>
        </w:numPr>
        <w:pBdr/>
        <w:spacing w:after="0" w:afterAutospacing="0" w:before="240" w:line="360" w:lineRule="auto"/>
        <w:ind w:hanging="360" w:left="72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資料</w:t>
      </w: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合併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：將112年與113年的資料合併</w:t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numPr>
          <w:ilvl w:val="0"/>
          <w:numId w:val="45"/>
        </w:numPr>
        <w:pBdr/>
        <w:spacing w:after="0" w:afterAutospacing="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刪除冗餘欄位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：如移轉編號、非都市土地欄位</w:t>
      </w:r>
      <w:r>
        <w:rPr>
          <w:rFonts w:ascii="標楷體" w:hAnsi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0" w:afterAutospacing="0" w:before="0" w:beforeAutospacing="0" w:line="360" w:lineRule="auto"/>
        <w:ind w:hanging="360" w:left="720"/>
        <w:rPr>
          <w:rFonts w:ascii="標楷體" w:hAnsi="標楷體" w:eastAsia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篩選與分類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刪除特殊</w:t>
      </w:r>
      <w:r>
        <w:rPr>
          <w:rFonts w:ascii="標楷體" w:hAnsi="標楷體" w:eastAsia="標楷體" w:cs="標楷體"/>
          <w:sz w:val="24"/>
          <w:szCs w:val="24"/>
        </w:rPr>
        <w:t xml:space="preserve">交易</w:t>
      </w:r>
      <w:r>
        <w:rPr>
          <w:rFonts w:ascii="標楷體" w:hAnsi="標楷體" w:eastAsia="標楷體" w:cs="標楷體"/>
          <w:sz w:val="24"/>
          <w:szCs w:val="24"/>
        </w:rPr>
        <w:t xml:space="preserve">關係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土地</w:t>
      </w:r>
      <w:r>
        <w:rPr>
          <w:rFonts w:ascii="標楷體" w:hAnsi="標楷體" w:eastAsia="標楷體" w:cs="標楷體"/>
          <w:sz w:val="24"/>
          <w:szCs w:val="24"/>
        </w:rPr>
        <w:t xml:space="preserve">標售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政府</w:t>
      </w:r>
      <w:r>
        <w:rPr>
          <w:rFonts w:ascii="標楷體" w:hAnsi="標楷體" w:eastAsia="標楷體" w:cs="標楷體"/>
          <w:sz w:val="24"/>
          <w:szCs w:val="24"/>
        </w:rPr>
        <w:t xml:space="preserve">轉讓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eastAsia="標楷體" w:cs="標楷體"/>
          <w:sz w:val="24"/>
          <w:szCs w:val="24"/>
        </w:rPr>
      </w:r>
    </w:p>
    <w:p>
      <w:pPr>
        <w:pBdr/>
        <w:spacing w:after="0" w:afterAutospacing="0" w:before="0" w:beforeAutospacing="0" w:line="360" w:lineRule="auto"/>
        <w:ind w:firstLine="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去除</w:t>
      </w:r>
      <w:r>
        <w:rPr>
          <w:rFonts w:ascii="標楷體" w:hAnsi="標楷體" w:eastAsia="標楷體" w:cs="標楷體"/>
          <w:sz w:val="24"/>
          <w:szCs w:val="24"/>
        </w:rPr>
        <w:t xml:space="preserve">非</w:t>
      </w:r>
      <w:r>
        <w:rPr>
          <w:rFonts w:ascii="標楷體" w:hAnsi="標楷體" w:eastAsia="標楷體" w:cs="標楷體"/>
          <w:sz w:val="24"/>
          <w:szCs w:val="24"/>
        </w:rPr>
        <w:t xml:space="preserve">建物</w:t>
      </w:r>
      <w:r>
        <w:rPr>
          <w:rFonts w:ascii="標楷體" w:hAnsi="標楷體" w:eastAsia="標楷體" w:cs="標楷體"/>
          <w:sz w:val="24"/>
          <w:szCs w:val="24"/>
        </w:rPr>
        <w:t xml:space="preserve">的購買</w:t>
      </w:r>
      <w:r>
        <w:rPr>
          <w:rFonts w:ascii="標楷體" w:hAnsi="標楷體" w:eastAsia="標楷體" w:cs="標楷體"/>
          <w:sz w:val="24"/>
          <w:szCs w:val="24"/>
        </w:rPr>
        <w:t xml:space="preserve">樓層</w:t>
      </w:r>
      <w:r>
        <w:rPr>
          <w:rFonts w:ascii="標楷體" w:hAnsi="標楷體" w:eastAsia="標楷體" w:cs="標楷體"/>
          <w:sz w:val="24"/>
          <w:szCs w:val="24"/>
        </w:rPr>
        <w:t xml:space="preserve">(</w:t>
      </w:r>
      <w:r>
        <w:rPr>
          <w:rFonts w:ascii="標楷體" w:hAnsi="標楷體" w:eastAsia="標楷體" w:cs="標楷體"/>
          <w:sz w:val="24"/>
          <w:szCs w:val="24"/>
        </w:rPr>
        <w:t xml:space="preserve">公設</w:t>
      </w:r>
      <w:r>
        <w:rPr>
          <w:rFonts w:ascii="標楷體" w:hAnsi="標楷體" w:eastAsia="標楷體" w:cs="標楷體"/>
          <w:sz w:val="24"/>
          <w:szCs w:val="24"/>
        </w:rPr>
        <w:t xml:space="preserve">避難室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)</w:t>
      </w:r>
      <w:r>
        <w:rPr>
          <w:rFonts w:ascii="標楷體" w:hAnsi="標楷體" w:eastAsia="標楷體" w:cs="標楷體"/>
          <w:sz w:val="24"/>
          <w:szCs w:val="24"/>
        </w:rPr>
        <w:t xml:space="preserve">、</w:t>
      </w:r>
      <w:r>
        <w:rPr>
          <w:rFonts w:ascii="標楷體" w:hAnsi="標楷體" w:eastAsia="標楷體" w:cs="標楷體"/>
          <w:sz w:val="24"/>
          <w:szCs w:val="24"/>
        </w:rPr>
        <w:t xml:space="preserve">純</w:t>
      </w:r>
      <w:r>
        <w:rPr>
          <w:rFonts w:ascii="標楷體" w:hAnsi="標楷體" w:eastAsia="標楷體" w:cs="標楷體"/>
          <w:sz w:val="24"/>
          <w:szCs w:val="24"/>
        </w:rPr>
        <w:t xml:space="preserve">土地</w:t>
      </w:r>
      <w:r>
        <w:rPr>
          <w:rFonts w:ascii="標楷體" w:hAnsi="標楷體" w:eastAsia="標楷體" w:cs="標楷體"/>
          <w:sz w:val="24"/>
          <w:szCs w:val="24"/>
        </w:rPr>
        <w:t xml:space="preserve">的使用</w:t>
      </w:r>
      <w:r>
        <w:rPr>
          <w:rFonts w:ascii="標楷體" w:hAnsi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24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b/>
          <w:sz w:val="24"/>
          <w:szCs w:val="24"/>
          <w:rtl w:val="0"/>
        </w:rPr>
        <w:t xml:space="preserve">刪除不合理數據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：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使用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 wilcoxon rank test 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刪除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離群</w:t>
      </w:r>
      <w:r>
        <w:rPr>
          <w:rFonts w:ascii="標楷體" w:hAnsi="標楷體" w:eastAsia="標楷體" w:cs="標楷體"/>
          <w:sz w:val="24"/>
          <w:szCs w:val="24"/>
          <w:rtl w:val="0"/>
        </w:rPr>
        <w:t xml:space="preserve">值</w:t>
      </w:r>
      <w:r>
        <w:rPr>
          <w:rFonts w:ascii="標楷體" w:hAnsi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numPr>
          <w:ilvl w:val="0"/>
          <w:numId w:val="45"/>
        </w:numPr>
        <w:pBdr/>
        <w:spacing w:after="240" w:before="0" w:beforeAutospacing="0" w:line="360" w:lineRule="auto"/>
        <w:ind w:hanging="360" w:left="72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  <w:rtl w:val="0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加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入經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緯度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  <w:rtl w:val="0"/>
        </w:rPr>
        <w:t xml:space="preserve">資料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  <w:rtl w:val="0"/>
        </w:rPr>
        <w:t xml:space="preserve">使用</w:t>
      </w:r>
      <w:r>
        <w:rPr>
          <w:rFonts w:ascii="標楷體" w:hAnsi="標楷體" w:eastAsia="標楷體" w:cs="標楷體"/>
          <w:sz w:val="24"/>
          <w:szCs w:val="24"/>
        </w:rPr>
        <w:t xml:space="preserve">爬蟲</w:t>
      </w:r>
      <w:r>
        <w:rPr>
          <w:rFonts w:ascii="標楷體" w:hAnsi="標楷體" w:eastAsia="標楷體" w:cs="標楷體"/>
          <w:sz w:val="24"/>
          <w:szCs w:val="24"/>
        </w:rPr>
        <w:t xml:space="preserve">在</w:t>
      </w:r>
      <w:r>
        <w:rPr>
          <w:rFonts w:ascii="標楷體" w:hAnsi="標楷體" w:eastAsia="標楷體" w:cs="標楷體"/>
          <w:sz w:val="24"/>
          <w:szCs w:val="24"/>
        </w:rPr>
        <w:t xml:space="preserve">地理資訊</w:t>
      </w:r>
      <w:r>
        <w:rPr>
          <w:rFonts w:ascii="標楷體" w:hAnsi="標楷體" w:eastAsia="標楷體" w:cs="標楷體"/>
          <w:sz w:val="24"/>
          <w:szCs w:val="24"/>
        </w:rPr>
        <w:t xml:space="preserve">整合平</w:t>
      </w:r>
      <w:r>
        <w:rPr>
          <w:rFonts w:ascii="標楷體" w:hAnsi="標楷體" w:eastAsia="標楷體" w:cs="標楷體"/>
          <w:sz w:val="24"/>
          <w:szCs w:val="24"/>
        </w:rPr>
        <w:t xml:space="preserve">台</w:t>
      </w:r>
      <w:r>
        <w:rPr>
          <w:rFonts w:ascii="標楷體" w:hAnsi="標楷體" w:eastAsia="標楷體" w:cs="標楷體"/>
          <w:sz w:val="24"/>
          <w:szCs w:val="24"/>
        </w:rPr>
        <w:t xml:space="preserve">搜尋</w:t>
      </w:r>
      <w:r>
        <w:rPr>
          <w:rFonts w:ascii="標楷體" w:hAnsi="標楷體" w:eastAsia="標楷體" w:cs="標楷體"/>
          <w:sz w:val="24"/>
          <w:szCs w:val="24"/>
        </w:rPr>
        <w:t xml:space="preserve">經緯度</w:t>
      </w:r>
      <w:r>
        <w:rPr>
          <w:rFonts w:ascii="標楷體" w:hAnsi="標楷體" w:eastAsia="標楷體" w:cs="標楷體"/>
          <w:sz w:val="24"/>
          <w:szCs w:val="24"/>
        </w:rPr>
        <w:t xml:space="preserve">資料</w:t>
      </w:r>
      <w:r>
        <w:rPr>
          <w:rFonts w:ascii="標楷體" w:hAnsi="標楷體" w:eastAsia="標楷體" w:cs="標楷體"/>
          <w:sz w:val="24"/>
          <w:szCs w:val="24"/>
        </w:rPr>
        <w:t xml:space="preserve">並</w:t>
      </w:r>
      <w:r>
        <w:rPr>
          <w:rFonts w:ascii="標楷體" w:hAnsi="標楷體" w:eastAsia="標楷體" w:cs="標楷體"/>
          <w:sz w:val="24"/>
          <w:szCs w:val="24"/>
        </w:rPr>
        <w:t xml:space="preserve">合</w:t>
      </w:r>
      <w:r>
        <w:rPr>
          <w:rFonts w:ascii="標楷體" w:hAnsi="標楷體" w:eastAsia="標楷體" w:cs="標楷體"/>
          <w:sz w:val="24"/>
          <w:szCs w:val="24"/>
        </w:rPr>
        <w:t xml:space="preserve">併</w:t>
      </w:r>
      <w:r>
        <w:rPr>
          <w:rFonts w:ascii="標楷體" w:hAnsi="標楷體" w:eastAsia="標楷體" w:cs="標楷體"/>
          <w:sz w:val="24"/>
          <w:szCs w:val="24"/>
        </w:rPr>
        <w:t xml:space="preserve">到</w:t>
      </w:r>
      <w:r>
        <w:rPr>
          <w:rFonts w:ascii="標楷體" w:hAnsi="標楷體" w:eastAsia="標楷體" w:cs="標楷體"/>
          <w:sz w:val="24"/>
          <w:szCs w:val="24"/>
        </w:rPr>
        <w:t xml:space="preserve">資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cs="標楷體"/>
          <w:sz w:val="24"/>
          <w:szCs w:val="24"/>
        </w:rPr>
      </w:r>
      <w:r>
        <w:rPr>
          <w:rFonts w:ascii="標楷體" w:hAnsi="標楷體" w:cs="標楷體"/>
          <w:sz w:val="24"/>
          <w:szCs w:val="24"/>
        </w:rPr>
      </w:r>
    </w:p>
    <w:p>
      <w:pPr>
        <w:pBdr/>
        <w:spacing w:after="240" w:before="0" w:beforeAutospacing="0"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料集</w:t>
      </w:r>
      <w:r>
        <w:rPr>
          <w:rFonts w:ascii="標楷體" w:hAnsi="標楷體" w:eastAsia="標楷體" w:cs="標楷體"/>
          <w:sz w:val="24"/>
          <w:szCs w:val="24"/>
        </w:rPr>
        <w:t xml:space="preserve">裡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ab/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遺失值處理策略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720"/>
        <w:rPr/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建築完成年月：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因無法估計，故保留遺失值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但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推測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年代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過於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遙遠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/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ab/>
        <w:tab/>
        <w:tab/>
      </w: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導致無法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找到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實際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的觀察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80" w:line="360" w:lineRule="auto"/>
        <w:ind w:firstLine="0" w:left="72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單價元/平方：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車位交易標記為車位類別並移除分析。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hint="default" w:ascii="Cambria Math" w:hAnsi="Cambria Math" w:eastAsia="Cambria Math" w:cs="Cambria Math"/>
          <w:b/>
          <w:sz w:val="24"/>
          <w:szCs w:val="24"/>
          <w:highlight w:val="white"/>
          <w:rtl w:val="0"/>
        </w:rPr>
        <w:t xml:space="preserve">●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單價的離群值檢測與處理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檢測離群值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/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繪製箱型圖檢測離群值。依據公式： </w:t>
      </w:r>
      <w:r/>
    </w:p>
    <w:p>
      <w:pPr>
        <w:pBdr/>
        <w:spacing w:line="360" w:lineRule="auto"/>
        <w:ind w:firstLine="0" w:left="1440"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下限=Q1</w:t>
      </w:r>
      <w:r>
        <w:rPr>
          <w:rFonts w:ascii="Cambria Math" w:hAnsi="Cambria Math" w:eastAsia="Cambria Math" w:cs="Cambria Math"/>
          <w:sz w:val="24"/>
          <w:szCs w:val="24"/>
          <w:rtl w:val="0"/>
        </w:rPr>
        <w:t xml:space="preserve">−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1.5×IQR,上限=Q3+1.5×IQR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1440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超出此範圍的值視為離群值。</w:t>
      </w:r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line="360" w:lineRule="auto"/>
        <w:ind w:firstLine="720" w:left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檢測影響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使用 Wilcoxon rank sum test 比較去除離群值前後資料的中位數，檢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查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群值是否對數據分佈有顯著影響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 w:firstLine="720" w:left="720"/>
        <w:rPr>
          <w:rFonts w:ascii="DFKai-SB" w:hAnsi="DFKai-SB" w:eastAsia="DFKai-SB" w:cs="DFKai-SB"/>
          <w:sz w:val="24"/>
          <w:szCs w:val="24"/>
          <w:u w:val="none"/>
        </w:rPr>
      </w:pPr>
      <w:r/>
      <m:oMath>
        <m:r>
          <w:rPr>
            <w:rFonts w:hint="default" w:ascii="Cambria Math" w:hAnsi="Cambria Math" w:eastAsia="Cambria Math" w:cs="Cambria Math"/>
            <w:sz w:val="24"/>
            <w:szCs w:val="24"/>
          </w:rPr>
          <m:rPr/>
          <m:t> </m:t>
        </m:r>
        <m:sSub>
          <m:sSubPr>
            <m:ctrlPr>
              <w:rPr>
                <w:rFonts w:ascii="DFKai-SB" w:hAnsi="DFKai-SB" w:eastAsia="DFKai-SB" w:cs="DFKai-SB"/>
                <w:sz w:val="24"/>
                <w:szCs w:val="24"/>
              </w:rPr>
            </m:ctrlPr>
          </m:sSubPr>
          <m:e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H</m:t>
            </m:r>
          </m:e>
          <m:sub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0</m:t>
            </m:r>
          </m:sub>
        </m:sSub>
      </m:oMath>
      <w:r>
        <w:rPr>
          <w:rFonts w:ascii="DFKai-SB" w:hAnsi="DFKai-SB" w:eastAsia="DFKai-SB" w:cs="DFKai-SB"/>
          <w:sz w:val="24"/>
          <w:szCs w:val="24"/>
          <w:rtl w:val="0"/>
        </w:rPr>
        <w:t xml:space="preserve">:去除離群值前資料的中位數等於去除後資料的中位數。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line="360" w:lineRule="auto"/>
        <w:ind w:firstLine="720" w:left="720"/>
        <w:rPr>
          <w:rFonts w:ascii="DFKai-SB" w:hAnsi="DFKai-SB" w:eastAsia="DFKai-SB" w:cs="DFKai-SB"/>
          <w:sz w:val="24"/>
          <w:szCs w:val="24"/>
          <w:u w:val="none"/>
        </w:rPr>
      </w:pPr>
      <w:r/>
      <m:oMath>
        <m:sSub>
          <m:sSubPr>
            <m:ctrlPr>
              <w:rPr>
                <w:rFonts w:ascii="DFKai-SB" w:hAnsi="DFKai-SB" w:eastAsia="DFKai-SB" w:cs="DFKai-SB"/>
                <w:sz w:val="24"/>
                <w:szCs w:val="24"/>
              </w:rPr>
            </m:ctrlPr>
          </m:sSubPr>
          <m:e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H</m:t>
            </m:r>
          </m:e>
          <m:sub>
            <m:r>
              <w:rPr>
                <w:rFonts w:ascii="DFKai-SB" w:hAnsi="DFKai-SB" w:eastAsia="DFKai-SB" w:cs="DFKai-SB"/>
                <w:sz w:val="24"/>
                <w:szCs w:val="24"/>
              </w:rPr>
              <m:rPr/>
              <m:t>1</m:t>
            </m:r>
          </m:sub>
        </m:sSub>
      </m:oMath>
      <w:r>
        <w:rPr>
          <w:rFonts w:ascii="DFKai-SB" w:hAnsi="DFKai-SB" w:eastAsia="DFKai-SB" w:cs="DFKai-SB"/>
          <w:sz w:val="24"/>
          <w:szCs w:val="24"/>
          <w:rtl w:val="0"/>
        </w:rPr>
        <w:t xml:space="preserve">:去除離群值前資料的中位數不等於去除後資料的中位數。</w:t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line="360" w:lineRule="auto"/>
        <w:ind w:firstLine="0" w:left="720"/>
        <w:rPr>
          <w:rFonts w:ascii="DFKai-SB" w:hAnsi="DFKai-SB" w:eastAsia="DFKai-SB" w:cs="DFKai-SB"/>
          <w:sz w:val="24"/>
          <w:szCs w:val="24"/>
          <w:u w:val="none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  <w:r>
        <w:rPr>
          <w:rFonts w:ascii="DFKai-SB" w:hAnsi="DFKai-SB" w:eastAsia="DFKai-SB" w:cs="DFKai-SB"/>
          <w:sz w:val="24"/>
          <w:szCs w:val="24"/>
          <w:u w:val="none"/>
        </w:rPr>
      </w:r>
    </w:p>
    <w:p>
      <w:pPr>
        <w:pBdr/>
        <w:spacing w:after="0" w:afterAutospacing="0" w:line="360" w:lineRule="auto"/>
        <w:ind w:firstLine="0" w:left="0"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結果</w:t>
      </w:r>
      <w:r>
        <w:rPr>
          <w:rFonts w:ascii="DFKai-SB" w:hAnsi="DFKai-SB" w:eastAsia="DFKai-SB" w:cs="DFKai-SB"/>
          <w:sz w:val="24"/>
          <w:szCs w:val="24"/>
          <w:rtl w:val="0"/>
        </w:rPr>
        <w:br/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單價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W=466,335,568 , p-value=2.097×10</w:t>
      </w:r>
      <w:r>
        <w:rPr>
          <w:rFonts w:ascii="Cambria Math" w:hAnsi="Cambria Math" w:eastAsia="Cambria Math" w:cs="Cambria Math"/>
          <w:sz w:val="24"/>
          <w:szCs w:val="24"/>
          <w:rtl w:val="0"/>
        </w:rPr>
        <w:t xml:space="preserve">−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11，顯示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去除單價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0" w:afterAutospacing="0" w:line="360" w:lineRule="auto"/>
        <w:ind w:firstLine="0" w:left="144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離群值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後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對於中位數是有影響的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因此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0" w:afterAutospacing="0" w:line="360" w:lineRule="auto"/>
        <w:ind w:firstLine="0" w:left="144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after="0" w:afterAutospacing="0" w:before="0" w:beforeAutospacing="0" w:line="276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  <w:tab/>
        <w:tab/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面積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W = 436,258,973，p-value = 1.382×10⁻¹³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，顯示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after="0" w:afterAutospacing="0" w:before="0" w:beforeAutospacing="0" w:line="276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房屋面積的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離群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值後對於中位數是有影響的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因此</w:t>
      </w:r>
      <w:r>
        <w:rPr>
          <w:rFonts w:ascii="DFKai-SB" w:hAnsi="DFKai-SB" w:eastAsia="DFKai-SB" w:cs="DFKai-SB"/>
          <w:b/>
          <w:bCs/>
          <w:sz w:val="24"/>
          <w:szCs w:val="24"/>
          <w:rtl w:val="0"/>
        </w:rPr>
        <w:t xml:space="preserve">去除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  <w:r>
        <w:rPr>
          <w:rFonts w:ascii="DFKai-SB" w:hAnsi="DFKai-SB" w:eastAsia="DFKai-SB" w:cs="DFKai-SB"/>
          <w:b/>
          <w:bCs/>
          <w:sz w:val="28"/>
          <w:szCs w:val="28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日期轉換與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屋齡計算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after="0" w:afterAutospacing="0" w:before="24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根據交易日期新增變數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: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ｍ＝民國年，ｎ＝月份。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0" w:afterAutospacing="0" w:before="0" w:beforeAutospacing="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日期格式轉換：將交易日期轉換為西元年。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0" w:beforeAutospacing="0" w:line="360" w:lineRule="auto"/>
        <w:ind w:firstLine="0" w:left="72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屋齡計算公式：屋齡=交易日期−建築完成日期。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 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面積比例計算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after="280" w:before="280" w:line="360" w:lineRule="auto"/>
        <w:ind w:firstLine="0" w:left="0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  <w:tab/>
        <w:tab/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比例公式：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主建物占比=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主建物面積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rPr>
          <w:rFonts w:ascii="DFKai-SB" w:hAnsi="DFKai-SB" w:eastAsia="DFKai-SB" w:cs="DFKai-SB"/>
          <w:b/>
          <w:bCs/>
          <w:sz w:val="24"/>
          <w:szCs w:val="24"/>
        </w:rPr>
      </w:pP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</w:rPr>
      </w:r>
      <w:r>
        <w:rPr>
          <w:rFonts w:ascii="DFKai-SB" w:hAnsi="DFKai-SB" w:eastAsia="DFKai-SB" w:cs="DFKai-SB"/>
          <w:b/>
          <w:bCs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附屬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附屬</m:t>
            </m:r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  <w:highlight w:val="none"/>
        </w:rPr>
      </w:r>
      <w:r>
        <w:rPr>
          <w:rFonts w:ascii="DFKai-SB" w:hAnsi="DFKai-SB" w:eastAsia="DFKai-SB" w:cs="DFKai-SB"/>
          <w:sz w:val="24"/>
          <w:szCs w:val="24"/>
          <w:highlight w:val="none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80" w:before="280" w:line="360" w:lineRule="auto"/>
        <w:ind/>
        <w:jc w:val="center"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 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公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佔</w:t>
      </w:r>
      <w:r>
        <w:rPr>
          <w:rFonts w:ascii="DFKai-SB" w:hAnsi="DFKai-SB" w:eastAsia="DFKai-SB" w:cs="DFKai-SB"/>
          <w:sz w:val="24"/>
          <w:szCs w:val="24"/>
          <w:rtl w:val="0"/>
        </w:rPr>
        <w:t xml:space="preserve">建物占比=</w:t>
      </w:r>
      <m:oMath>
        <m:f>
          <m:fPr>
            <m:ctrlPr>
              <w:rPr>
                <w:rFonts w:ascii="Cambria Math" w:hAnsi="Cambria Math" w:eastAsia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公佔</m:t>
            </m:r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建物面積</m:t>
            </m:r>
          </m:num>
          <m:den>
            <m:r>
              <w:rPr>
                <w:rFonts w:ascii="Cambria Math" w:hAnsi="Cambria Math" w:eastAsia="Cambria Math" w:cs="Cambria Math"/>
                <w:sz w:val="24"/>
                <w:szCs w:val="24"/>
              </w:rPr>
              <m:rPr/>
              <m:t>建物移轉總面積</m:t>
            </m:r>
          </m:den>
        </m:f>
      </m:oMath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sz w:val="24"/>
          <w:szCs w:val="24"/>
          <w:rtl w:val="0"/>
        </w:rPr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經過資料整理後的變數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tbl>
      <w:tblPr>
        <w:tblStyle w:val="990"/>
        <w:tblW w:w="9019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Look w:val="0400" w:firstRow="0" w:lastRow="0" w:firstColumn="0" w:lastColumn="0" w:noHBand="0" w:noVBand="1"/>
      </w:tblPr>
      <w:tblGrid>
        <w:gridCol w:w="2334"/>
        <w:gridCol w:w="804"/>
        <w:gridCol w:w="1039"/>
        <w:gridCol w:w="1039"/>
        <w:gridCol w:w="1039"/>
        <w:gridCol w:w="1039"/>
        <w:gridCol w:w="1039"/>
        <w:gridCol w:w="686"/>
      </w:tblGrid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整合資料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Min.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1st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Median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Mean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3rd Qu.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Max.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NA's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土地移轉總面積(坪)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3.222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6.657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9.831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1419.38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8.3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1205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1860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2520.8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2930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535000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單價(萬/坪)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4.499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54.261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68.871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70.764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86.019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138.546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車位移轉總面積(坪)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2.424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951.958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車位總價元(萬)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49.98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13530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主建物占比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0.5401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0.7259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0.7079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0.8681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1.0012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  <w:tr>
        <w:trPr>
          <w:cantSplit w:val="false"/>
          <w:trHeight w:val="324"/>
        </w:trPr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房屋面積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/>
              <w:ind/>
              <w:rPr>
                <w:rFonts w:ascii="DFKai-SB" w:hAnsi="DFKai-SB" w:eastAsia="DFKai-SB" w:cs="DFKai-SB"/>
                <w:sz w:val="26"/>
                <w:szCs w:val="26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13.79</w:t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  <w:r>
              <w:rPr>
                <w:rFonts w:ascii="DFKai-SB" w:hAnsi="DFKai-SB" w:eastAsia="DFKai-SB" w:cs="DFKai-SB"/>
                <w:sz w:val="26"/>
                <w:szCs w:val="26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288" w:lineRule="auto"/>
              <w:ind/>
              <w:rPr>
                <w:rFonts w:ascii="DFKai-SB" w:hAnsi="DFKai-SB" w:eastAsia="DFKai-SB" w:cs="DFKai-SB"/>
                <w:sz w:val="20"/>
                <w:szCs w:val="20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highlight w:val="white"/>
                <w:rtl w:val="0"/>
              </w:rPr>
              <w:t xml:space="preserve">24.19</w:t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  <w:r>
              <w:rPr>
                <w:rFonts w:ascii="DFKai-SB" w:hAnsi="DFKai-SB" w:eastAsia="DFKai-SB" w:cs="DFKai-SB"/>
                <w:sz w:val="20"/>
                <w:szCs w:val="20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24.2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32.01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61.29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  <w:tc>
          <w:tcPr>
            <w:tcBorders/>
            <w:textDirection w:val="lrTb"/>
            <w:noWrap w:val="false"/>
          </w:tcPr>
          <w:p>
            <w:pPr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0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pBdr/>
        <w:spacing w:line="360" w:lineRule="auto"/>
        <w:ind/>
        <w:rPr>
          <w:highlight w:val="none"/>
        </w:rPr>
      </w:pPr>
      <w:r>
        <w:rPr>
          <w:rtl w:val="0"/>
        </w:rPr>
        <w:t xml:space="preserve"> </w:t>
      </w:r>
      <w:r>
        <w:rPr>
          <w:rtl w:val="0"/>
        </w:rPr>
        <w:t xml:space="preserve"> </w:t>
      </w:r>
      <w:r>
        <w:rPr>
          <w:rtl w:val="0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</w:rPr>
      </w:pPr>
      <w:r>
        <w:rPr>
          <w:rFonts w:ascii="DFKai-SB" w:hAnsi="DFKai-SB" w:eastAsia="DFKai-SB" w:cs="DFKai-SB"/>
          <w:b/>
          <w:sz w:val="32"/>
          <w:szCs w:val="32"/>
        </w:rPr>
        <w:t xml:space="preserve">客群</w:t>
      </w:r>
      <w:r>
        <w:rPr>
          <w:rFonts w:ascii="DFKai-SB" w:hAnsi="DFKai-SB" w:eastAsia="DFKai-SB" w:cs="DFKai-SB"/>
          <w:b/>
          <w:sz w:val="32"/>
          <w:szCs w:val="32"/>
        </w:rPr>
        <w:t xml:space="preserve">分析</w:t>
      </w:r>
      <w:r>
        <w:rPr>
          <w:rFonts w:ascii="DFKai-SB" w:hAnsi="DFKai-SB" w:eastAsia="DFKai-SB" w:cs="DFKai-SB"/>
          <w:b/>
          <w:sz w:val="32"/>
          <w:szCs w:val="32"/>
        </w:rPr>
        <w:t xml:space="preserve">結果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sz w:val="28"/>
          <w:szCs w:val="28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</w:rPr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群體描述與</w:t>
      </w:r>
      <w:r>
        <w:rPr>
          <w:rFonts w:ascii="DFKai-SB" w:hAnsi="DFKai-SB" w:eastAsia="DFKai-SB" w:cs="DFKai-SB"/>
          <w:b/>
          <w:sz w:val="28"/>
          <w:szCs w:val="28"/>
          <w:rtl w:val="0"/>
        </w:rPr>
        <w:t xml:space="preserve">特徵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老舊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住宅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實用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highlight w:val="none"/>
        </w:rPr>
      </w:pP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傳統實用大家庭追求寬敞舒適的家園，青睞價格親民、土地與主建物面積最大的老宅，擁有豐富的房間、客廳與衛浴空間。他們重視家庭共享的溫馨時光，適合多代同堂或成員眾多的大家庭。選擇郊區的透天厝或大坪數老公寓，這類客群以超高性價比打造充滿回憶的理想居所，無需在意房屋新舊，只為全家人的幸福團聚</w:t>
      </w:r>
      <w:r>
        <w:t xml:space="preserve">。</w:t>
      </w:r>
      <w:r>
        <w:rPr>
          <w:highlight w:val="none"/>
        </w:rPr>
      </w:r>
      <w:r>
        <w:rPr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小屋住宅精緻客群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</w:rPr>
      </w:pP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  <w:r>
        <w:rPr>
          <w:rFonts w:ascii="標楷體" w:hAnsi="標楷體" w:cs="標楷體"/>
          <w:b/>
          <w:bCs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追求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高品質的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都市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生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土地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最小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房間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客廳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與衛浴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配置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精簡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的住宅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總預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算最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低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注重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高端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味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他們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青睞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市中心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高樓層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的大樓住宅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附設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電梯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，享受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高公設比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豐富設施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打造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時尚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便利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與精緻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兼具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理想家園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完美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適合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單身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小家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庭的生活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現代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住宅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客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群</w:t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/>
      </w:pPr>
      <w:r>
        <w:rPr>
          <w:highlight w:val="none"/>
        </w:rPr>
      </w:r>
      <w:r/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sz w:val="24"/>
          <w:szCs w:val="24"/>
          <w:highlight w:val="none"/>
        </w:rPr>
      </w:pPr>
      <w:r>
        <w:t xml:space="preserve"> </w:t>
      </w:r>
      <w: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追求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一定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的生活品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選擇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建物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偏大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房子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的年齡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偏低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並且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房子的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預算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非常充足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可購買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車位的房子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適合中高收入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家庭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  <w:r>
        <w:rPr>
          <w:rFonts w:ascii="Times New Roman" w:hAnsi="Times New Roman" w:eastAsia="Times New Roman" w:cs="Times New Roman"/>
          <w:sz w:val="24"/>
          <w:szCs w:val="24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注重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生活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空間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客</w:t>
      </w:r>
      <w:r>
        <w:rPr>
          <w:rFonts w:ascii="標楷體" w:hAnsi="標楷體" w:eastAsia="標楷體" w:cs="標楷體"/>
          <w:b/>
          <w:bCs/>
          <w:sz w:val="24"/>
          <w:szCs w:val="24"/>
        </w:rPr>
        <w:t xml:space="preserve">群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/>
          <w:bCs/>
          <w:sz w:val="24"/>
          <w:szCs w:val="24"/>
          <w:highlight w:val="none"/>
        </w:rPr>
      </w:r>
      <w:r>
        <w:rPr>
          <w:rFonts w:ascii="標楷體" w:hAnsi="標楷體" w:cs="標楷體"/>
          <w:b/>
          <w:bCs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 </w:t>
      </w:r>
      <w:r>
        <w:rPr>
          <w:rFonts w:ascii="標楷體" w:hAnsi="標楷體" w:eastAsia="標楷體" w:cs="標楷體"/>
        </w:rPr>
        <w:t xml:space="preserve">追求</w:t>
      </w:r>
      <w:r>
        <w:rPr>
          <w:rFonts w:ascii="標楷體" w:hAnsi="標楷體" w:eastAsia="標楷體" w:cs="標楷體"/>
        </w:rPr>
        <w:t xml:space="preserve">一定</w:t>
      </w:r>
      <w:r>
        <w:rPr>
          <w:rFonts w:ascii="標楷體" w:hAnsi="標楷體" w:eastAsia="標楷體" w:cs="標楷體"/>
        </w:rPr>
        <w:t xml:space="preserve">大</w:t>
      </w:r>
      <w:r>
        <w:rPr>
          <w:rFonts w:ascii="標楷體" w:hAnsi="標楷體" w:eastAsia="標楷體" w:cs="標楷體"/>
        </w:rPr>
        <w:t xml:space="preserve">建物</w:t>
      </w:r>
      <w:r>
        <w:rPr>
          <w:rFonts w:ascii="標楷體" w:hAnsi="標楷體" w:eastAsia="標楷體" w:cs="標楷體"/>
        </w:rPr>
        <w:t xml:space="preserve">面積、</w:t>
      </w:r>
      <w:r>
        <w:rPr>
          <w:rFonts w:ascii="標楷體" w:hAnsi="標楷體" w:eastAsia="標楷體" w:cs="標楷體"/>
        </w:rPr>
        <w:t xml:space="preserve">低</w:t>
      </w:r>
      <w:r>
        <w:rPr>
          <w:rFonts w:ascii="標楷體" w:hAnsi="標楷體" w:eastAsia="標楷體" w:cs="標楷體"/>
        </w:rPr>
        <w:t xml:space="preserve">樓層</w:t>
      </w:r>
      <w:r>
        <w:rPr>
          <w:rFonts w:ascii="標楷體" w:hAnsi="標楷體" w:eastAsia="標楷體" w:cs="標楷體"/>
        </w:rPr>
        <w:t xml:space="preserve">且</w:t>
      </w:r>
      <w:r>
        <w:rPr>
          <w:rFonts w:ascii="標楷體" w:hAnsi="標楷體" w:eastAsia="標楷體" w:cs="標楷體"/>
        </w:rPr>
        <w:t xml:space="preserve">附設</w:t>
      </w:r>
      <w:r>
        <w:rPr>
          <w:rFonts w:ascii="標楷體" w:hAnsi="標楷體" w:eastAsia="標楷體" w:cs="標楷體"/>
        </w:rPr>
        <w:t xml:space="preserve">電梯</w:t>
      </w:r>
      <w:r>
        <w:rPr>
          <w:rFonts w:ascii="標楷體" w:hAnsi="標楷體" w:eastAsia="標楷體" w:cs="標楷體"/>
        </w:rPr>
        <w:t xml:space="preserve">的</w:t>
      </w:r>
      <w:r>
        <w:rPr>
          <w:rFonts w:ascii="標楷體" w:hAnsi="標楷體" w:eastAsia="標楷體" w:cs="標楷體"/>
        </w:rPr>
        <w:t xml:space="preserve">住宅</w:t>
      </w:r>
      <w:r>
        <w:rPr>
          <w:rFonts w:ascii="標楷體" w:hAnsi="標楷體" w:eastAsia="標楷體" w:cs="標楷體"/>
        </w:rPr>
        <w:t xml:space="preserve">大樓</w:t>
      </w:r>
      <w:r>
        <w:rPr>
          <w:rFonts w:ascii="標楷體" w:hAnsi="標楷體" w:eastAsia="標楷體" w:cs="標楷體"/>
        </w:rPr>
        <w:t xml:space="preserve">客群</w:t>
      </w:r>
      <w:r>
        <w:rPr>
          <w:rFonts w:ascii="標楷體" w:hAnsi="標楷體" w:eastAsia="標楷體" w:cs="標楷體"/>
        </w:rPr>
        <w:t xml:space="preserve">，</w:t>
      </w:r>
      <w:r>
        <w:rPr>
          <w:rFonts w:ascii="標楷體" w:hAnsi="標楷體" w:eastAsia="標楷體" w:cs="標楷體"/>
        </w:rPr>
        <w:t xml:space="preserve">可能會需要</w:t>
      </w:r>
      <w:r>
        <w:rPr>
          <w:rFonts w:ascii="標楷體" w:hAnsi="標楷體" w:eastAsia="標楷體" w:cs="標楷體"/>
        </w:rPr>
        <w:t xml:space="preserve">較大</w:t>
      </w:r>
      <w:r>
        <w:rPr>
          <w:rFonts w:ascii="標楷體" w:hAnsi="標楷體" w:eastAsia="標楷體" w:cs="標楷體"/>
        </w:rPr>
        <w:t xml:space="preserve">的</w:t>
      </w:r>
      <w:r>
        <w:rPr>
          <w:rFonts w:ascii="標楷體" w:hAnsi="標楷體" w:eastAsia="標楷體" w:cs="標楷體"/>
        </w:rPr>
        <w:t xml:space="preserve">戶外</w:t>
      </w:r>
      <w:r>
        <w:rPr>
          <w:rFonts w:ascii="標楷體" w:hAnsi="標楷體" w:eastAsia="標楷體" w:cs="標楷體"/>
        </w:rPr>
        <w:t xml:space="preserve">空間</w:t>
      </w:r>
      <w:r>
        <w:rPr>
          <w:rFonts w:ascii="標楷體" w:hAnsi="標楷體" w:eastAsia="標楷體" w:cs="標楷體"/>
        </w:rPr>
        <w:t xml:space="preserve">，</w:t>
      </w:r>
      <w:r>
        <w:rPr>
          <w:rFonts w:ascii="標楷體" w:hAnsi="標楷體" w:eastAsia="標楷體" w:cs="標楷體"/>
        </w:rPr>
        <w:t xml:space="preserve">像是</w:t>
      </w:r>
      <w:r>
        <w:rPr>
          <w:rFonts w:ascii="標楷體" w:hAnsi="標楷體" w:eastAsia="標楷體" w:cs="標楷體"/>
        </w:rPr>
        <w:t xml:space="preserve">後花</w:t>
      </w:r>
      <w:r>
        <w:rPr>
          <w:rFonts w:ascii="標楷體" w:hAnsi="標楷體" w:eastAsia="標楷體" w:cs="標楷體"/>
        </w:rPr>
        <w:t xml:space="preserve">園</w:t>
      </w:r>
      <w:r>
        <w:rPr>
          <w:rFonts w:ascii="標楷體" w:hAnsi="標楷體" w:eastAsia="標楷體" w:cs="標楷體"/>
        </w:rPr>
        <w:t xml:space="preserve">或是</w:t>
      </w:r>
      <w:r>
        <w:rPr>
          <w:rFonts w:ascii="標楷體" w:hAnsi="標楷體" w:eastAsia="標楷體" w:cs="標楷體"/>
        </w:rPr>
        <w:t xml:space="preserve">陽台</w:t>
      </w:r>
      <w:r>
        <w:rPr>
          <w:rFonts w:ascii="標楷體" w:hAnsi="標楷體" w:eastAsia="標楷體" w:cs="標楷體"/>
        </w:rPr>
        <w:t xml:space="preserve">等</w:t>
      </w:r>
      <w:r>
        <w:rPr>
          <w:rFonts w:ascii="標楷體" w:hAnsi="標楷體" w:eastAsia="標楷體" w:cs="標楷體"/>
        </w:rPr>
        <w:t xml:space="preserve">，</w:t>
      </w:r>
      <w:r>
        <w:rPr>
          <w:rFonts w:ascii="標楷體" w:hAnsi="標楷體" w:eastAsia="標楷體" w:cs="標楷體"/>
        </w:rPr>
        <w:t xml:space="preserve">因此</w:t>
      </w:r>
      <w:r>
        <w:rPr>
          <w:rFonts w:ascii="標楷體" w:hAnsi="標楷體" w:eastAsia="標楷體" w:cs="標楷體"/>
        </w:rPr>
        <w:t xml:space="preserve">擁有</w:t>
      </w:r>
      <w:r>
        <w:rPr>
          <w:rFonts w:ascii="標楷體" w:hAnsi="標楷體" w:eastAsia="標楷體" w:cs="標楷體"/>
        </w:rPr>
        <w:t xml:space="preserve">較大</w:t>
      </w:r>
      <w:r>
        <w:rPr>
          <w:rFonts w:ascii="標楷體" w:hAnsi="標楷體" w:eastAsia="標楷體" w:cs="標楷體"/>
        </w:rPr>
        <w:t xml:space="preserve">的</w:t>
      </w:r>
      <w:r>
        <w:rPr>
          <w:rFonts w:ascii="標楷體" w:hAnsi="標楷體" w:eastAsia="標楷體" w:cs="標楷體"/>
        </w:rPr>
        <w:t xml:space="preserve">附屬建物</w:t>
      </w:r>
      <w:r>
        <w:rPr>
          <w:rFonts w:ascii="標楷體" w:hAnsi="標楷體" w:eastAsia="標楷體" w:cs="標楷體"/>
        </w:rPr>
        <w:t xml:space="preserve">面積</w:t>
      </w:r>
      <w:r>
        <w:rPr>
          <w:rFonts w:ascii="標楷體" w:hAnsi="標楷體" w:eastAsia="標楷體" w:cs="標楷體"/>
        </w:rPr>
        <w:t xml:space="preserve">，</w:t>
      </w:r>
      <w:r>
        <w:rPr>
          <w:rFonts w:ascii="標楷體" w:hAnsi="標楷體" w:eastAsia="標楷體" w:cs="標楷體"/>
        </w:rPr>
        <w:t xml:space="preserve">並且不</w:t>
      </w:r>
      <w:r>
        <w:rPr>
          <w:rFonts w:ascii="標楷體" w:hAnsi="標楷體" w:eastAsia="標楷體" w:cs="標楷體"/>
        </w:rPr>
        <w:t xml:space="preserve">太需要</w:t>
      </w:r>
      <w:r>
        <w:rPr>
          <w:rFonts w:ascii="標楷體" w:hAnsi="標楷體" w:eastAsia="標楷體" w:cs="標楷體"/>
          <w:sz w:val="24"/>
        </w:rPr>
        <w:t xml:space="preserve">車位空間</w:t>
      </w:r>
      <w:r>
        <w:rPr>
          <w:rFonts w:ascii="標楷體" w:hAnsi="標楷體" w:eastAsia="標楷體" w:cs="標楷體"/>
          <w:sz w:val="24"/>
        </w:rPr>
        <w:t xml:space="preserve">。</w:t>
      </w:r>
      <w:r>
        <w:rPr>
          <w:rFonts w:ascii="標楷體" w:hAnsi="標楷體" w:eastAsia="標楷體" w:cs="標楷體"/>
          <w:sz w:val="24"/>
        </w:rPr>
      </w:r>
      <w:r>
        <w:rPr>
          <w:rFonts w:ascii="標楷體" w:hAnsi="標楷體" w:cs="標楷體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cs="標楷體"/>
          <w:sz w:val="24"/>
          <w:szCs w:val="24"/>
        </w:rPr>
      </w:pPr>
      <w:r>
        <w:rPr>
          <w:rFonts w:ascii="標楷體" w:hAnsi="標楷體" w:cs="標楷體"/>
          <w:sz w:val="24"/>
          <w:highlight w:val="none"/>
        </w:rPr>
      </w:r>
      <w:r>
        <w:rPr>
          <w:rFonts w:ascii="標楷體" w:hAnsi="標楷體" w:cs="標楷體"/>
          <w:sz w:val="24"/>
          <w:highlight w:val="none"/>
        </w:rPr>
      </w:r>
      <w:r>
        <w:rPr>
          <w:rFonts w:ascii="標楷體" w:hAnsi="標楷體" w:cs="標楷體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 w:val="0"/>
          <w:bCs w:val="0"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 w:val="0"/>
          <w:bCs w:val="0"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  <w:t xml:space="preserve">客群</w:t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  <w:t xml:space="preserve">需求</w:t>
      </w:r>
      <w:r>
        <w:rPr>
          <w:rFonts w:ascii="DFKai-SB" w:hAnsi="DFKai-SB" w:eastAsia="DFKai-SB" w:cs="DFKai-SB"/>
          <w:b w:val="0"/>
          <w:bCs w:val="0"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/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pP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  <w:r>
        <w:rPr>
          <w:rFonts w:ascii="標楷體" w:hAnsi="標楷體" w:eastAsia="標楷體" w:cs="標楷體"/>
          <w:b/>
          <w:bCs/>
          <w:sz w:val="28"/>
          <w:szCs w:val="28"/>
          <w:highlight w:val="none"/>
        </w:rPr>
      </w:r>
    </w:p>
    <w:tbl>
      <w:tblPr>
        <w:tblStyle w:val="808"/>
        <w:tblW w:w="0" w:type="auto"/>
        <w:tblBorders/>
        <w:tblLook w:val="04A0" w:firstRow="1" w:lastRow="0" w:firstColumn="1" w:lastColumn="0" w:noHBand="0" w:noVBand="1"/>
      </w:tblPr>
      <w:tblGrid>
        <w:gridCol w:w="4514"/>
        <w:gridCol w:w="4514"/>
      </w:tblGrid>
      <w:tr>
        <w:trPr>
          <w:trHeight w:val="889"/>
        </w:trPr>
        <w:tc>
          <w:tcPr>
            <w:tcBorders/>
            <w:tcW w:w="4514" w:type="dxa"/>
            <w:textDirection w:val="lrTb"/>
            <w:noWrap w:val="false"/>
          </w:tcPr>
          <w:p>
            <w:pPr>
              <w:pBdr/>
              <w:spacing w:after="240" w:before="240" w:line="360" w:lineRule="auto"/>
              <w:ind/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老舊住宅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實用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客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群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451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標楷體" w:hAnsi="標楷體" w:cs="標楷體"/>
              </w:rPr>
            </w:pPr>
            <w:r>
              <w:rPr>
                <w:rFonts w:ascii="標楷體" w:hAnsi="標楷體" w:eastAsia="標楷體" w:cs="標楷體"/>
                <w:color w:val="000000"/>
                <w:sz w:val="24"/>
              </w:rPr>
              <w:t xml:space="preserve">10坪土地，30坪主建物（占比近1），2廳2衛，4~5樓，屋齡約40年，單價50~60萬。陽台需求兩極（無或2.5坪內，占比&lt;0.1）。無明顯車位、公設需求。</w:t>
            </w:r>
            <w:r>
              <w:rPr>
                <w:rFonts w:ascii="標楷體" w:hAnsi="標楷體" w:eastAsia="標楷體" w:cs="標楷體"/>
                <w:sz w:val="24"/>
              </w:rPr>
            </w:r>
            <w:r>
              <w:rPr>
                <w:rFonts w:ascii="標楷體" w:hAnsi="標楷體" w:cs="標楷體"/>
              </w:rPr>
            </w:r>
          </w:p>
        </w:tc>
      </w:tr>
      <w:tr>
        <w:trPr/>
        <w:tc>
          <w:tcPr>
            <w:tcBorders/>
            <w:tcW w:w="4514" w:type="dxa"/>
            <w:textDirection w:val="lrTb"/>
            <w:noWrap w:val="false"/>
          </w:tcPr>
          <w:p>
            <w:pPr>
              <w:pBdr/>
              <w:spacing w:after="240" w:before="240" w:line="360" w:lineRule="auto"/>
              <w:ind/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小屋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住宅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實用客群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451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標楷體" w:hAnsi="標楷體" w:cs="標楷體"/>
              </w:rPr>
            </w:pPr>
            <w:r>
              <w:rPr>
                <w:rFonts w:ascii="標楷體" w:hAnsi="標楷體" w:eastAsia="標楷體" w:cs="標楷體"/>
                <w:color w:val="000000"/>
                <w:sz w:val="24"/>
              </w:rPr>
              <w:t xml:space="preserve">5~10坪土地，10坪內主建物（占比0.6），3房2廳1衛，4~5樓（範圍廣），屋齡0~60年，單價75萬。陽台兩極（無或2.5坪內，占比&lt;0.1），公設占比0.4，無車位需求。</w:t>
            </w:r>
            <w:r>
              <w:rPr>
                <w:rFonts w:ascii="標楷體" w:hAnsi="標楷體" w:eastAsia="標楷體" w:cs="標楷體"/>
                <w:sz w:val="24"/>
              </w:rPr>
            </w:r>
            <w:r>
              <w:rPr>
                <w:rFonts w:ascii="標楷體" w:hAnsi="標楷體" w:cs="標楷體"/>
              </w:rPr>
            </w:r>
          </w:p>
        </w:tc>
      </w:tr>
      <w:tr>
        <w:trPr/>
        <w:tc>
          <w:tcPr>
            <w:tcBorders/>
            <w:tcW w:w="4514" w:type="dxa"/>
            <w:textDirection w:val="lrTb"/>
            <w:noWrap w:val="false"/>
          </w:tcPr>
          <w:p>
            <w:pPr>
              <w:pBdr/>
              <w:spacing w:after="240" w:before="240" w:line="360" w:lineRule="auto"/>
              <w:ind/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現代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住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宅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客群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451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>
                <w:rFonts w:ascii="標楷體" w:hAnsi="標楷體" w:cs="標楷體"/>
              </w:rPr>
            </w:pPr>
            <w:r>
              <w:rPr>
                <w:rFonts w:ascii="標楷體" w:hAnsi="標楷體" w:eastAsia="標楷體" w:cs="標楷體"/>
                <w:color w:val="000000"/>
                <w:sz w:val="24"/>
              </w:rPr>
              <w:t xml:space="preserve">5坪土地，50坪總面積（主建物10~30坪，占比0.4），1房1廳2衛，4~5樓（範圍廣），屋齡0~20年，單價75萬。陽台必備（2.5坪內，占比&lt;0.1），車位20坪（400萬），公設占比0.4。</w:t>
            </w:r>
            <w:r>
              <w:rPr>
                <w:rFonts w:ascii="標楷體" w:hAnsi="標楷體" w:eastAsia="標楷體" w:cs="標楷體"/>
                <w:sz w:val="24"/>
              </w:rPr>
            </w:r>
            <w:r>
              <w:rPr>
                <w:rFonts w:ascii="標楷體" w:hAnsi="標楷體" w:cs="標楷體"/>
              </w:rPr>
            </w:r>
          </w:p>
        </w:tc>
      </w:tr>
      <w:tr>
        <w:trPr/>
        <w:tc>
          <w:tcPr>
            <w:tcBorders/>
            <w:tcW w:w="4514" w:type="dxa"/>
            <w:textDirection w:val="lrTb"/>
            <w:noWrap w:val="false"/>
          </w:tcPr>
          <w:p>
            <w:pPr>
              <w:pBdr/>
              <w:spacing w:after="240" w:before="240" w:line="360" w:lineRule="auto"/>
              <w:ind/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pP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注重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  <w:t xml:space="preserve">生活空間客群</w:t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  <w:r>
              <w:rPr>
                <w:rFonts w:ascii="DFKai-SB" w:hAnsi="DFKai-SB" w:eastAsia="DFKai-SB" w:cs="DFKai-SB"/>
                <w:b w:val="0"/>
                <w:bCs w:val="0"/>
                <w:sz w:val="24"/>
                <w:szCs w:val="24"/>
                <w:highlight w:val="none"/>
              </w:rPr>
            </w:r>
          </w:p>
        </w:tc>
        <w:tc>
          <w:tcPr>
            <w:tcBorders/>
            <w:tcW w:w="4514" w:type="dxa"/>
            <w:textDirection w:val="lrTb"/>
            <w:noWrap w:val="false"/>
          </w:tcPr>
          <w:p>
            <w:pPr>
              <w:pBdr>
                <w:top w:val="none" w:color="000000" w:sz="4" w:space="0"/>
                <w:left w:val="none" w:color="000000" w:sz="4" w:space="0"/>
                <w:bottom w:val="none" w:color="000000" w:sz="4" w:space="0"/>
                <w:right w:val="none" w:color="000000" w:sz="4" w:space="0"/>
              </w:pBdr>
              <w:spacing/>
              <w:ind w:right="0" w:firstLine="0" w:left="0"/>
              <w:rPr/>
            </w:pPr>
            <w:r>
              <w:rPr>
                <w:rFonts w:ascii="Times New Roman" w:hAnsi="Times New Roman" w:eastAsia="Times New Roman" w:cs="Times New Roman"/>
                <w:color w:val="000000"/>
                <w:sz w:val="24"/>
              </w:rPr>
              <w:t xml:space="preserve">10坪土地，50坪總面積（主建物範圍廣，占比0.4），3房2廳，衛數靈活，低樓層，屋齡約40年，單價50~60萬。附屬建物10坪（占比0.4），陽台兩極（無或2.5坪內，占比&lt;0.1），無公設、車位需求</w:t>
            </w:r>
            <w:r>
              <w:rPr>
                <w:rFonts w:ascii="Times New Roman" w:hAnsi="Times New Roman" w:eastAsia="Times New Roman" w:cs="Times New Roman"/>
                <w:sz w:val="24"/>
              </w:rPr>
            </w:r>
            <w:r/>
          </w:p>
        </w:tc>
      </w:tr>
    </w:tbl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Tabuleau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表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呈現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結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果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成果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連結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說明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儀表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版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內建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房市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地段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搜尋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該地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區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之下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消費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著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偏好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地段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025" cy="2641888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139387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 flipH="0" flipV="0">
                          <a:off x="0" y="0"/>
                          <a:ext cx="6116024" cy="264188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81.58pt;height:208.02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瞭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解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購屋族群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目前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各地區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的消費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總預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算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116025" cy="2300700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809743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6116024" cy="23006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81.58pt;height:181.16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after="240" w:before="240" w:line="360" w:lineRule="auto"/>
        <w:ind w:firstLine="0"/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  <w:t xml:space="preserve">分析過程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標楷體" w:hAnsi="標楷體" w:eastAsia="標楷體" w:cs="標楷體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標楷體" w:hAnsi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數 k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的選擇上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群內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異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量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以及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silhouette score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為主要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最佳 k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而最終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的結果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 k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4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為主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。</w:t>
      </w:r>
      <w:r>
        <w:rPr>
          <w:rFonts w:ascii="標楷體" w:hAnsi="標楷體" w:cs="標楷體"/>
          <w:sz w:val="24"/>
          <w:szCs w:val="24"/>
          <w:highlight w:val="none"/>
        </w:rPr>
      </w:r>
      <w:r>
        <w:rPr>
          <w:rFonts w:ascii="標楷體" w:hAnsi="標楷體" w:cs="標楷體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手肘法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過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4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、5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內中心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變異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會出現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下滑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選擇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上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 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 4、5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主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4318154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102423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733414" cy="43181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45pt;height:340.01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Silhouette socre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average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Silhouette score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平均數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k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點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之中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是以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最高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、4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次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在選擇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上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會考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群跟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第四群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為主要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首選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4575" cy="3640888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426499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5944573" cy="364088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8.08pt;height:286.68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為 2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從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圖上來看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k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不夠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平均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因此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考慮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是否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要分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二群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/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721555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2586920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5733414" cy="27215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45pt;height:214.30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為 4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時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  <w:r>
        <w:rPr>
          <w:rFonts w:ascii="DFKai-SB" w:hAnsi="DFKai-SB" w:eastAsia="DFKai-SB" w:cs="DFKai-SB"/>
          <w:b/>
          <w:bCs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每個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silhouette score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中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跟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分群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效果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較差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跟 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最少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負數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是最少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  <w:t xml:space="preserve"> 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523633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63970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3414" cy="25236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1.45pt;height:198.71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tabs>
          <w:tab w:val="left" w:leader="none" w:pos="3512"/>
        </w:tabs>
        <w:spacing w:line="360" w:lineRule="auto"/>
        <w:ind w:firstLine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K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為 4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群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時的樣本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數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ab/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10628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3 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樣本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8756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4185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/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844599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4241590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3414" cy="284459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51.45pt;height:223.98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各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客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群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之間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的機率密度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圖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/>
          <w:bCs/>
          <w:sz w:val="28"/>
          <w:szCs w:val="28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28"/>
          <w:szCs w:val="28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變數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集中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來去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比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各個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客群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大多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集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中的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位置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整理出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表格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tabs>
          <w:tab w:val="left" w:leader="none" w:pos="6752"/>
        </w:tabs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- 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土地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移轉面積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3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傾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tabs>
          <w:tab w:val="left" w:leader="none" w:pos="6752"/>
        </w:tabs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                       5~10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 5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附近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ab/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-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房數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買 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房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2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 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房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房數篇廣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-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廳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廳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廳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–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衛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衛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浴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 2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2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偏向於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個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衛浴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範圍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極廣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–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擁有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單價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單價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於 75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單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價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50~60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萬之間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–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移轉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面積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為 20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坪附近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 1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 20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以內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、3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偏向為 50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坪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。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–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建物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總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價元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總預算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 2000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1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購買總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預算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在 1000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萬附近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，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2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落在3000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萬附近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3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族群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落在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2000 ~3000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萬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附近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-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購買樓層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0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、1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、2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樓層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數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偏向於 4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5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b w:val="0"/>
          <w:bCs w:val="0"/>
          <w:sz w:val="24"/>
          <w:szCs w:val="24"/>
          <w:highlight w:val="none"/>
        </w:rPr>
        <w:t xml:space="preserve">層</w:t>
      </w:r>
      <w:r>
        <w:rPr>
          <w:rFonts w:ascii="標楷體" w:hAnsi="標楷體" w:eastAsia="標楷體" w:cs="標楷體"/>
          <w:sz w:val="24"/>
          <w:szCs w:val="24"/>
        </w:rPr>
        <w:t xml:space="preserve">，</w:t>
      </w:r>
      <w:r>
        <w:rPr>
          <w:rFonts w:ascii="標楷體" w:hAnsi="標楷體" w:eastAsia="標楷體" w:cs="標楷體"/>
          <w:sz w:val="24"/>
          <w:szCs w:val="24"/>
        </w:rPr>
        <w:t xml:space="preserve">而</w:t>
      </w:r>
      <w:r>
        <w:rPr>
          <w:rFonts w:ascii="標楷體" w:hAnsi="標楷體" w:eastAsia="標楷體" w:cs="標楷體"/>
          <w:sz w:val="24"/>
          <w:szCs w:val="24"/>
        </w:rPr>
        <w:t xml:space="preserve">其中 1</w:t>
      </w:r>
      <w:r>
        <w:rPr>
          <w:rFonts w:ascii="標楷體" w:hAnsi="標楷體" w:eastAsia="標楷體" w:cs="標楷體"/>
          <w:sz w:val="24"/>
          <w:szCs w:val="24"/>
        </w:rPr>
        <w:t xml:space="preserve">、2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</w:r>
      <w:r>
        <w:rPr>
          <w:rFonts w:ascii="標楷體" w:hAnsi="標楷體" w:eastAsia="標楷體" w:cs="標楷體"/>
          <w:sz w:val="24"/>
          <w:szCs w:val="24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 </w:t>
      </w:r>
      <w:r>
        <w:rPr>
          <w:rFonts w:ascii="標楷體" w:hAnsi="標楷體" w:eastAsia="標楷體" w:cs="標楷體"/>
          <w:sz w:val="24"/>
          <w:szCs w:val="24"/>
        </w:rPr>
        <w:t xml:space="preserve">購</w:t>
      </w:r>
      <w:r>
        <w:rPr>
          <w:rFonts w:ascii="標楷體" w:hAnsi="標楷體" w:eastAsia="標楷體" w:cs="標楷體"/>
          <w:sz w:val="24"/>
          <w:szCs w:val="24"/>
        </w:rPr>
        <w:t xml:space="preserve">買</w:t>
      </w:r>
      <w:r>
        <w:rPr>
          <w:rFonts w:ascii="標楷體" w:hAnsi="標楷體" w:eastAsia="標楷體" w:cs="標楷體"/>
          <w:sz w:val="24"/>
          <w:szCs w:val="24"/>
        </w:rPr>
        <w:t xml:space="preserve">的</w:t>
      </w:r>
      <w:r>
        <w:rPr>
          <w:rFonts w:ascii="標楷體" w:hAnsi="標楷體" w:eastAsia="標楷體" w:cs="標楷體"/>
          <w:sz w:val="24"/>
          <w:szCs w:val="24"/>
        </w:rPr>
        <w:t xml:space="preserve">範圍</w:t>
      </w:r>
      <w:r>
        <w:rPr>
          <w:rFonts w:ascii="標楷體" w:hAnsi="標楷體" w:eastAsia="標楷體" w:cs="標楷體"/>
          <w:sz w:val="24"/>
          <w:szCs w:val="24"/>
        </w:rPr>
        <w:t xml:space="preserve">非常廣</w:t>
      </w:r>
      <w:r>
        <w:rPr>
          <w:rFonts w:ascii="標楷體" w:hAnsi="標楷體" w:eastAsia="標楷體" w:cs="標楷體"/>
          <w:sz w:val="24"/>
          <w:szCs w:val="24"/>
        </w:rPr>
        <w:t xml:space="preserve">。</w:t>
      </w:r>
      <w:r>
        <w:rPr>
          <w:rFonts w:ascii="標楷體" w:hAnsi="標楷體" w:eastAsia="標楷體" w:cs="標楷體"/>
          <w:sz w:val="24"/>
          <w:szCs w:val="24"/>
        </w:rPr>
        <w:t xml:space="preserve">而第 3 </w:t>
      </w:r>
      <w:r>
        <w:rPr>
          <w:rFonts w:ascii="標楷體" w:hAnsi="標楷體" w:eastAsia="標楷體" w:cs="標楷體"/>
          <w:sz w:val="24"/>
          <w:szCs w:val="24"/>
        </w:rPr>
        <w:t xml:space="preserve">群</w:t>
      </w:r>
      <w:r>
        <w:rPr>
          <w:rFonts w:ascii="標楷體" w:hAnsi="標楷體" w:eastAsia="標楷體" w:cs="標楷體"/>
          <w:sz w:val="24"/>
          <w:szCs w:val="24"/>
        </w:rPr>
        <w:t xml:space="preserve">購</w:t>
      </w:r>
      <w:r>
        <w:rPr>
          <w:rFonts w:ascii="標楷體" w:hAnsi="標楷體" w:eastAsia="標楷體" w:cs="標楷體"/>
          <w:sz w:val="24"/>
          <w:szCs w:val="24"/>
        </w:rPr>
        <w:t xml:space="preserve">買</w:t>
      </w:r>
      <w:r>
        <w:rPr>
          <w:rFonts w:ascii="標楷體" w:hAnsi="標楷體" w:eastAsia="標楷體" w:cs="標楷體"/>
          <w:sz w:val="24"/>
          <w:szCs w:val="24"/>
        </w:rPr>
        <w:t xml:space="preserve">集中</w:t>
      </w:r>
      <w:r>
        <w:rPr>
          <w:rFonts w:ascii="標楷體" w:hAnsi="標楷體" w:eastAsia="標楷體" w:cs="標楷體"/>
          <w:sz w:val="24"/>
          <w:szCs w:val="24"/>
        </w:rPr>
        <w:t xml:space="preserve">在</w:t>
      </w:r>
      <w:r>
        <w:rPr>
          <w:rFonts w:ascii="標楷體" w:hAnsi="標楷體" w:eastAsia="標楷體" w:cs="標楷體"/>
          <w:sz w:val="24"/>
          <w:szCs w:val="24"/>
        </w:rPr>
        <w:t xml:space="preserve">低</w:t>
      </w:r>
      <w:r>
        <w:rPr>
          <w:rFonts w:ascii="標楷體" w:hAnsi="標楷體" w:eastAsia="標楷體" w:cs="標楷體"/>
          <w:sz w:val="24"/>
          <w:szCs w:val="24"/>
        </w:rPr>
        <w:t xml:space="preserve">樓</w:t>
      </w:r>
      <w:r>
        <w:rPr>
          <w:rFonts w:ascii="標楷體" w:hAnsi="標楷體" w:eastAsia="標楷體" w:cs="標楷體"/>
          <w:sz w:val="24"/>
          <w:szCs w:val="24"/>
        </w:rPr>
        <w:t xml:space="preserve">層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-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主建物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(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)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集中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在30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1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群集中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在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10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坪以內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2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群集中在 10 ~ 30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而第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範圍極廣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-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主建物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群購買的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接近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 1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1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的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接近為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                     0.6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接近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於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0.4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–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附屬建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物面積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、1、2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坪數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趨近為 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10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有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集中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趨勢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–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附屬建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物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、1、2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坪數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趨近為 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比例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落在 0.4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-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公占比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1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落在 0.4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而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、3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客群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趨近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 0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–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車位移轉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總面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總價元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2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對車位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坪數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總價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需求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相對較高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落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在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20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、400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-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屋齡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落在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40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1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族群屋齡範圍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要求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較廣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落在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               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~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60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附近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族群落在0 ~ 20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內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–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陽台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(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)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: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0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1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、3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購買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趨勢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偏向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於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兩極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化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，另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一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派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可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以無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陽台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坪數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，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另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一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派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陽台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面積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偏向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為 2.5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坪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內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陽台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占比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在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0.1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以內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。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其中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第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2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族群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一定要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有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jc w:val="left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陽台</w:t>
      </w:r>
      <w:r>
        <w:rPr>
          <w:rFonts w:ascii="標楷體" w:hAnsi="標楷體" w:eastAsia="標楷體" w:cs="標楷體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標楷體" w:hAnsi="標楷體" w:eastAsia="標楷體" w:cs="標楷體"/>
          <w:sz w:val="24"/>
          <w:szCs w:val="24"/>
          <w:highlight w:val="none"/>
        </w:rPr>
      </w:pP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  <w:r>
        <w:rPr>
          <w:rFonts w:ascii="標楷體" w:hAnsi="標楷體" w:eastAsia="標楷體" w:cs="標楷體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4875" cy="3076132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275343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 flipH="0" flipV="0">
                          <a:off x="0" y="0"/>
                          <a:ext cx="4894875" cy="30761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385.42pt;height:242.22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5712" cy="300555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636686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flipH="0" flipV="0">
                          <a:off x="0" y="0"/>
                          <a:ext cx="5415712" cy="30055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26.43pt;height:236.66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19725" cy="2859838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774044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 flipH="0" flipV="0">
                          <a:off x="0" y="0"/>
                          <a:ext cx="5419724" cy="28598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26.75pt;height:225.18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91125" cy="3119850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799819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191124" cy="31198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08.75pt;height:245.66pt;mso-wrap-distance-left:0.00pt;mso-wrap-distance-top:0.00pt;mso-wrap-distance-right:0.00pt;mso-wrap-distance-bottom:0.00pt;z-index:1;" stroked="false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1727" cy="3462750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823946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461727" cy="3462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30.06pt;height:272.66pt;mso-wrap-distance-left:0.00pt;mso-wrap-distance-top:0.00pt;mso-wrap-distance-right:0.00pt;mso-wrap-distance-bottom:0.00pt;z-index:1;" stroked="false">
                <v:imagedata r:id="rId2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43550" cy="3110325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9564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543550" cy="31103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36.50pt;height:244.91pt;mso-wrap-distance-left:0.00pt;mso-wrap-distance-top:0.00pt;mso-wrap-distance-right:0.00pt;mso-wrap-distance-bottom:0.00pt;z-index:1;" stroked="false">
                <v:imagedata r:id="rId2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95850" cy="355800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23888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 flipH="0" flipV="0">
                          <a:off x="0" y="0"/>
                          <a:ext cx="4895849" cy="35579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385.50pt;height:280.16pt;mso-wrap-distance-left:0.00pt;mso-wrap-distance-top:0.00pt;mso-wrap-distance-right:0.00pt;mso-wrap-distance-bottom:0.00pt;z-index:1;" stroked="false">
                <v:imagedata r:id="rId2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0200" cy="3377025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474947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 flipH="0" flipV="0">
                          <a:off x="0" y="0"/>
                          <a:ext cx="5230199" cy="33770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1.83pt;height:265.91pt;mso-wrap-distance-left:0.00pt;mso-wrap-distance-top:0.00pt;mso-wrap-distance-right:0.00pt;mso-wrap-distance-bottom:0.00pt;z-index:1;" stroked="false">
                <v:imagedata r:id="rId27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68250" cy="2929350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6680217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 flipH="0" flipV="0">
                          <a:off x="0" y="0"/>
                          <a:ext cx="4868249" cy="29293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383.33pt;height:230.66pt;mso-wrap-distance-left:0.00pt;mso-wrap-distance-top:0.00pt;mso-wrap-distance-right:0.00pt;mso-wrap-distance-bottom:0.00pt;z-index:1;" stroked="false">
                <v:imagedata r:id="rId2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885350" cy="2881725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322435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 flipH="0" flipV="0">
                          <a:off x="0" y="0"/>
                          <a:ext cx="4885349" cy="28817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384.67pt;height:226.91pt;mso-wrap-distance-left:0.00pt;mso-wrap-distance-top:0.00pt;mso-wrap-distance-right:0.00pt;mso-wrap-distance-bottom:0.00pt;z-index:1;" stroked="false">
                <v:imagedata r:id="rId2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56750" cy="2910300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505814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 flipH="0" flipV="0">
                          <a:off x="0" y="0"/>
                          <a:ext cx="4656749" cy="29102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366.67pt;height:229.16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6375" cy="2672175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189071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 flipH="0" flipV="0">
                          <a:off x="0" y="0"/>
                          <a:ext cx="5286375" cy="26721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16.25pt;height:210.41pt;mso-wrap-distance-left:0.00pt;mso-wrap-distance-top:0.00pt;mso-wrap-distance-right:0.00pt;mso-wrap-distance-bottom:0.00pt;z-index:1;" stroked="false">
                <v:imagedata r:id="rId31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00675" cy="3387105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7366771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 flipH="0" flipV="0">
                          <a:off x="0" y="0"/>
                          <a:ext cx="5400675" cy="33871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25.25pt;height:266.70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1650" cy="3167475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048886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tretch/>
                      </pic:blipFill>
                      <pic:spPr bwMode="auto">
                        <a:xfrm flipH="0" flipV="0">
                          <a:off x="0" y="0"/>
                          <a:ext cx="5581649" cy="3167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39.50pt;height:249.41pt;mso-wrap-distance-left:0.00pt;mso-wrap-distance-top:0.00pt;mso-wrap-distance-right:0.00pt;mso-wrap-distance-bottom:0.00pt;z-index:1;" stroked="false">
                <v:imagedata r:id="rId3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056800" cy="2957925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811880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tretch/>
                      </pic:blipFill>
                      <pic:spPr bwMode="auto">
                        <a:xfrm flipH="0" flipV="0">
                          <a:off x="0" y="0"/>
                          <a:ext cx="5056799" cy="29579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398.17pt;height:232.91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34025" cy="1880849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04624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 flipH="0" flipV="0">
                          <a:off x="0" y="0"/>
                          <a:ext cx="5534024" cy="1880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35.75pt;height:148.10pt;mso-wrap-distance-left:0.00pt;mso-wrap-distance-top:0.00pt;mso-wrap-distance-right:0.00pt;mso-wrap-distance-bottom:0.00pt;z-index:1;" stroked="false">
                <v:imagedata r:id="rId35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5900" cy="2862675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0762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 flipH="0" flipV="0">
                          <a:off x="0" y="0"/>
                          <a:ext cx="5295899" cy="28626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17.00pt;height:225.41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95925" cy="5324475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121472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495924" cy="53244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432.75pt;height:419.25pt;mso-wrap-distance-left:0.00pt;mso-wrap-distance-top:0.00pt;mso-wrap-distance-right:0.00pt;mso-wrap-distance-bottom:0.00pt;z-index:1;" stroked="false">
                <v:imagedata r:id="rId37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/>
        <w:spacing w:line="360" w:lineRule="auto"/>
        <w:ind w:firstLine="0"/>
        <w:rPr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6058875" cy="2591062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03772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 flipH="0" flipV="0">
                          <a:off x="0" y="0"/>
                          <a:ext cx="6058874" cy="25910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477.08pt;height:204.02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 w:firstLine="0"/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</w:r>
    </w:p>
    <w:p>
      <w:pPr>
        <w:pBdr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pBdr>
        <w:spacing/>
        <w:ind w:right="0" w:firstLine="0" w:left="0"/>
        <w:rPr>
          <w:rFonts w:ascii="標楷體" w:hAnsi="標楷體" w:eastAsia="標楷體" w:cs="標楷體"/>
          <w:color w:val="000000"/>
          <w:sz w:val="24"/>
          <w:szCs w:val="24"/>
          <w:highlight w:val="none"/>
        </w:rPr>
      </w:pP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DFKai-SB" w:hAnsi="DFKai-SB" w:eastAsia="DFKai-SB" w:cs="DFKai-SB"/>
          <w:b w:val="0"/>
          <w:bCs w:val="0"/>
          <w:sz w:val="24"/>
          <w:szCs w:val="24"/>
          <w:highlight w:val="none"/>
        </w:rPr>
        <w:t xml:space="preserve"> </w:t>
      </w:r>
      <w:r>
        <w:rPr>
          <w:rFonts w:ascii="標楷體" w:hAnsi="標楷體" w:eastAsia="標楷體" w:cs="標楷體"/>
          <w:color w:val="000000"/>
          <w:sz w:val="24"/>
          <w:szCs w:val="24"/>
          <w:highlight w:val="none"/>
        </w:rPr>
      </w:r>
      <w:r>
        <w:rPr>
          <w:rFonts w:ascii="標楷體" w:hAnsi="標楷體" w:eastAsia="標楷體" w:cs="標楷體"/>
          <w:color w:val="000000"/>
          <w:sz w:val="24"/>
          <w:szCs w:val="24"/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  <w:rtl w:val="0"/>
        </w:rPr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9264" cy="2687579"/>
                <wp:effectExtent l="0" t="0" r="0" b="0"/>
                <wp:docPr id="3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263163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 flipH="0" flipV="0">
                          <a:off x="0" y="0"/>
                          <a:ext cx="5299263" cy="268757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17.26pt;height:211.62pt;mso-wrap-distance-left:0.00pt;mso-wrap-distance-top:0.00pt;mso-wrap-distance-right:0.00pt;mso-wrap-distance-bottom:0.00pt;z-index:1;" stroked="false">
                <v:imagedata r:id="rId39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/>
      </w:pPr>
      <w:r>
        <w:rPr>
          <w:highlight w:val="none"/>
        </w:rPr>
        <w:t xml:space="preserve"> </w:t>
      </w:r>
      <w:r>
        <w:t xml:space="preserve"> </w:t>
      </w:r>
      <w:r>
        <w:t xml:space="preserve"> </w:t>
      </w:r>
      <w:r>
        <w:rPr>
          <w:highlight w:val="none"/>
        </w:rPr>
      </w:r>
      <w:r/>
    </w:p>
    <w:p>
      <w:pPr>
        <w:pBdr/>
        <w:spacing w:line="360" w:lineRule="auto"/>
        <w:ind/>
        <w:rPr>
          <w:highlight w:val="none"/>
        </w:rPr>
      </w:pPr>
      <w:r>
        <w:t xml:space="preserve"> </w:t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326489"/>
                <wp:effectExtent l="0" t="0" r="0" b="0"/>
                <wp:docPr id="3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699201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733414" cy="23264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51.45pt;height:183.19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w:rPr>
          <w:highlight w:val="none"/>
        </w:rP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39487" cy="2939053"/>
                <wp:effectExtent l="0" t="0" r="0" b="0"/>
                <wp:docPr id="3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170034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 flipH="0" flipV="0">
                          <a:off x="0" y="0"/>
                          <a:ext cx="5439487" cy="293905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28.31pt;height:231.42pt;mso-wrap-distance-left:0.00pt;mso-wrap-distance-top:0.00pt;mso-wrap-distance-right:0.00pt;mso-wrap-distance-bottom:0.00pt;z-index:1;" stroked="false">
                <v:imagedata r:id="rId41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73150" cy="2908913"/>
                <wp:effectExtent l="0" t="0" r="0" b="0"/>
                <wp:docPr id="3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8546602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 flipH="0" flipV="0">
                          <a:off x="0" y="0"/>
                          <a:ext cx="5973148" cy="290891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4" o:spid="_x0000_s34" type="#_x0000_t75" style="width:470.33pt;height:229.05pt;mso-wrap-distance-left:0.00pt;mso-wrap-distance-top:0.00pt;mso-wrap-distance-right:0.00pt;mso-wrap-distance-bottom:0.00pt;z-index:1;" stroked="false">
                <v:imagedata r:id="rId42" o:title=""/>
                <o:lock v:ext="edit" rotation="t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840407"/>
                <wp:effectExtent l="0" t="0" r="0" b="0"/>
                <wp:docPr id="3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8582373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733414" cy="284040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5" o:spid="_x0000_s35" type="#_x0000_t75" style="width:451.45pt;height:223.65pt;mso-wrap-distance-left:0.00pt;mso-wrap-distance-top:0.00pt;mso-wrap-distance-right:0.00pt;mso-wrap-distance-bottom:0.00pt;z-index:1;" stroked="false">
                <v:imagedata r:id="rId43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2530101"/>
                <wp:effectExtent l="0" t="0" r="0" b="0"/>
                <wp:docPr id="3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613540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33414" cy="253009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6" o:spid="_x0000_s36" type="#_x0000_t75" style="width:451.45pt;height:199.22pt;mso-wrap-distance-left:0.00pt;mso-wrap-distance-top:0.00pt;mso-wrap-distance-right:0.00pt;mso-wrap-distance-bottom:0.00pt;z-index:1;" stroked="false">
                <v:imagedata r:id="rId44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b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6"/>
          <w:szCs w:val="36"/>
        </w:rPr>
      </w:pP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  <w:t xml:space="preserve"> 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t xml:space="preserve"> 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3415" cy="3135461"/>
                <wp:effectExtent l="0" t="0" r="0" b="0"/>
                <wp:docPr id="3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331262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733414" cy="31354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7" o:spid="_x0000_s37" type="#_x0000_t75" style="width:451.45pt;height:246.89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6"/>
          <w:szCs w:val="36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b/>
          <w:bCs/>
          <w:sz w:val="32"/>
          <w:szCs w:val="32"/>
          <w:highlight w:val="none"/>
        </w:rPr>
      </w:pP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6"/>
          <w:szCs w:val="36"/>
          <w:highlight w:val="none"/>
        </w:rPr>
      </w:pP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sz w:val="36"/>
          <w:szCs w:val="36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6"/>
          <w:szCs w:val="36"/>
          <w:highlight w:val="none"/>
        </w:rPr>
      </w:pP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sz w:val="36"/>
          <w:szCs w:val="36"/>
          <w:highlight w:val="none"/>
          <w:rtl w:val="0"/>
        </w:rPr>
      </w:r>
      <w:r>
        <w:rPr>
          <w:rFonts w:ascii="DFKai-SB" w:hAnsi="DFKai-SB" w:eastAsia="DFKai-SB" w:cs="DFKai-SB"/>
          <w:sz w:val="36"/>
          <w:szCs w:val="36"/>
          <w:highlight w:val="none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36"/>
          <w:szCs w:val="36"/>
          <w:highlight w:val="none"/>
        </w:rPr>
      </w:pPr>
      <w:r>
        <w:rPr>
          <w:rFonts w:ascii="DFKai-SB" w:hAnsi="DFKai-SB" w:eastAsia="DFKai-SB" w:cs="DFKai-SB"/>
          <w:sz w:val="36"/>
          <w:szCs w:val="36"/>
          <w:rtl w:val="0"/>
        </w:rPr>
        <w:t xml:space="preserve">附錄</w:t>
      </w:r>
      <w:r>
        <w:rPr>
          <w:rFonts w:ascii="DFKai-SB" w:hAnsi="DFKai-SB" w:eastAsia="DFKai-SB" w:cs="DFKai-SB"/>
          <w:b/>
          <w:bCs/>
          <w:sz w:val="32"/>
          <w:szCs w:val="32"/>
          <w:highlight w:val="none"/>
        </w:rPr>
      </w:r>
      <w:r>
        <w:rPr>
          <w:rFonts w:ascii="DFKai-SB" w:hAnsi="DFKai-SB" w:eastAsia="DFKai-SB" w:cs="DFKai-SB"/>
          <w:sz w:val="36"/>
          <w:szCs w:val="36"/>
          <w:highlight w:val="none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各地區交易量(Tabuleau):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46" w:tooltip="https://public.tableau.com/views/_17350963058970/1_1?:language=zh-TW&amp;publish=yes&amp;:sid=&amp;:redirect=auth&amp;:display_count=n&amp;:origin=viz_share_link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https://public.tableau.com/views/_17350963058970/1_1?:language=zh-TW&amp;publish=yes&amp;:sid=&amp;:redirect=auth&amp;:display_count=n&amp;:origin=viz_share_link</w:t>
        </w:r>
      </w:hyperlink>
      <w:r>
        <w:rPr>
          <w:rFonts w:ascii="DFKai-SB" w:hAnsi="DFKai-SB" w:eastAsia="DFKai-SB" w:cs="DFKai-SB"/>
          <w:sz w:val="24"/>
          <w:szCs w:val="24"/>
          <w:rtl w:val="0"/>
        </w:rPr>
        <w:br/>
      </w:r>
      <w:r>
        <w:br w:type="page" w:clear="all"/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after="240" w:before="240" w:line="360" w:lineRule="auto"/>
        <w:ind/>
        <w:rPr>
          <w:rFonts w:ascii="DFKai-SB" w:hAnsi="DFKai-SB" w:eastAsia="DFKai-SB" w:cs="DFKai-SB"/>
          <w:sz w:val="26"/>
          <w:szCs w:val="26"/>
        </w:rPr>
      </w:pPr>
      <w:r/>
      <w:hyperlink r:id="rId47" w:tooltip="https://applealmondrealty.com/posts/16827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2023 年 2 月信義房價指數（大台北指數）歷年房價走勢圖 - 果仁家 - 買房賣房 / 居家生活知識家</w:t>
        </w:r>
      </w:hyperlink>
      <w:r>
        <w:rPr>
          <w:rFonts w:ascii="DFKai-SB" w:hAnsi="DFKai-SB" w:eastAsia="DFKai-SB" w:cs="DFKai-SB"/>
          <w:sz w:val="24"/>
          <w:szCs w:val="24"/>
          <w:rtl w:val="0"/>
        </w:rPr>
        <w:t xml:space="preserve">(台北房價走勢圖)</w:t>
        <w:br/>
      </w:r>
      <w:hyperlink r:id="rId48" w:tooltip="https://www.housefeel.com.tw/article/%e4%bd%a0%e7%9f%a5%e9%81%93%e6%88%bf%e5%b8%82%e6%ba%ab%e5%ba%a6%e8%a8%88%ef%bc%8c329%e3%80%81520%e3%80%81928%e6%aa%94%e6%9c%9f%e5%97%8e%ef%bc%9f/" w:history="1">
        <w:r>
          <w:rPr>
            <w:color w:val="0563c1"/>
            <w:u w:val="single"/>
            <w:rtl w:val="0"/>
          </w:rPr>
          <w:t xml:space="preserve">房市檔期是什麼？329檔期？520檔期？928檔期？ - HouseFeel 房感</w:t>
        </w:r>
      </w:hyperlink>
      <w:r>
        <w:rPr>
          <w:rFonts w:ascii="DFKai-SB" w:hAnsi="DFKai-SB" w:eastAsia="DFKai-SB" w:cs="DFKai-SB"/>
          <w:sz w:val="26"/>
          <w:szCs w:val="26"/>
        </w:rPr>
      </w:r>
      <w:r>
        <w:rPr>
          <w:rFonts w:ascii="DFKai-SB" w:hAnsi="DFKai-SB" w:eastAsia="DFKai-SB" w:cs="DFKai-SB"/>
          <w:sz w:val="26"/>
          <w:szCs w:val="26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49" w:tooltip="https://www.great-home.com.tw/News/Detail.aspx?Num=4246" w:history="1">
        <w:r>
          <w:rPr>
            <w:color w:val="0563c1"/>
            <w:u w:val="single"/>
            <w:rtl w:val="0"/>
          </w:rPr>
          <w:t xml:space="preserve">329、520、928房市檔期是什麼？推薦透過3大檔期掌握購屋時機！ - 大家房屋網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0" w:tooltip="https://buy.u-trust.com.tw/" w:history="1">
        <w:r>
          <w:rPr>
            <w:rFonts w:ascii="DFKai-SB" w:hAnsi="DFKai-SB" w:eastAsia="DFKai-SB" w:cs="DFKai-SB"/>
            <w:color w:val="1155cc"/>
            <w:sz w:val="24"/>
            <w:szCs w:val="24"/>
            <w:u w:val="single"/>
            <w:rtl w:val="0"/>
          </w:rPr>
          <w:t xml:space="preserve">https://buy.u-trust.com.tw/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各房仲網網址: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color w:val="0563c1"/>
          <w:u w:val="single"/>
        </w:rPr>
      </w:pPr>
      <w:r>
        <w:rPr>
          <w:rtl w:val="0"/>
        </w:rPr>
      </w:r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3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0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信義房屋: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1" w:tooltip="https://www.sinyi.com.tw/buy/list?gad_source=1&amp;gclid=CjwKCAiAmrS7BhBJEiwAei59i2HM50e_wpi8tTmeqS2iXM2UtIZ5orRcU7GyTQ_P9CvRE6ronroWuxoC3iUQAvD_BwE" w:history="1">
        <w:r>
          <w:rPr>
            <w:color w:val="0563c1"/>
            <w:u w:val="single"/>
            <w:rtl w:val="0"/>
          </w:rPr>
          <w:t xml:space="preserve">https://www.sinyi.com.tw/buy/list?gad_source=1&amp;gclid=CjwKCAiAmrS7BhBJEiwAei59i2HM50e_wpi8tTmeqS2iXM2UtIZ5orRcU7GyTQ_P9CvRE6ronroWuxoC3iUQAvD_BwE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4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1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永慶房屋: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2" w:tooltip="https://buy.yungching.com.tw/list/%E5%8F%B0%E5%8C%97%E5%B8%82-_c/pricereduction_filter?utm_source=google&amp;utm_medium=cpc&amp;utm_content=dr_brand&amp;gad_source=1&amp;gclid=CjwKCAiAmrS7BhBJEiwAei59i-uytFpLdvkeOAM1oeswUmM82gH30xFfL8E4-dzTAWWNO3SZXueRFhoCLjIQAvD_BwE" w:history="1">
        <w:r>
          <w:rPr>
            <w:color w:val="0563c1"/>
            <w:u w:val="single"/>
            <w:rtl w:val="0"/>
          </w:rPr>
          <w:t xml:space="preserve">https://buy.yungching.com.tw/list/%E5%8F%B0%E5%8C%97%E5%B8%82-_c/pricereduction_filter?utm_source=google&amp;utm_medium=cpc&amp;utm_content=dr_brand&amp;gad_source=1&amp;gclid=CjwKCAiAmrS7BhBJEiwAei59i-uytFpLdvkeOAM1oeswUmM82gH30xFfL8E4-dzTAWWNO3SZXueRFhoCLjIQAvD_BwE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5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2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台灣房仲網: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/>
      <w:hyperlink r:id="rId53" w:tooltip="https://www.houseol.com.tw/" w:history="1">
        <w:r>
          <w:rPr>
            <w:color w:val="0563c1"/>
            <w:u w:val="single"/>
            <w:rtl w:val="0"/>
          </w:rPr>
          <w:t xml:space="preserve">https://www.houseol.com.tw/</w:t>
        </w:r>
      </w:hyperlink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tbl>
      <w:tblPr>
        <w:tblStyle w:val="996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3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有巢氏: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4" w:tooltip="https://buy.u-trust.com.tw/" w:history="1">
        <w:r>
          <w:rPr>
            <w:color w:val="0563c1"/>
            <w:u w:val="single"/>
            <w:rtl w:val="0"/>
          </w:rPr>
          <w:t xml:space="preserve">https://buy.u-trust.com.tw/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Fonts w:ascii="DFKai-SB" w:hAnsi="DFKai-SB" w:eastAsia="DFKai-SB" w:cs="DFKai-SB"/>
          <w:sz w:val="24"/>
          <w:szCs w:val="24"/>
          <w:rtl w:val="0"/>
        </w:rPr>
        <w:t xml:space="preserve">中信房屋:</w:t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5" w:tooltip="https://buy.cthouse.com.tw/area/%E8%87%BA%E5%8C%97%E5%B8%82-city/" w:history="1">
        <w:r>
          <w:rPr>
            <w:color w:val="0563c1"/>
            <w:u w:val="single"/>
            <w:rtl w:val="0"/>
          </w:rPr>
          <w:t xml:space="preserve">https://buy.cthouse.com.tw/area/%E8%87%BA%E5%8C%97%E5%B8%82-city/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7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4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住商不動產: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6" w:tooltip="https://www.hbhousing.com.tw/" w:history="1">
        <w:r>
          <w:rPr>
            <w:color w:val="0563c1"/>
            <w:u w:val="single"/>
            <w:rtl w:val="0"/>
          </w:rPr>
          <w:t xml:space="preserve">https://www.hbhousing.com.tw/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8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5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太平洋房仲網: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7" w:tooltip="https://www.pacific.com.tw/?gad_source=1&amp;gclid=CjwKCAiAmrS7BhBJEiwAei59i5W6Wlb3eOXBvIIwQzcTdtpVA90ykfvYGdOvm0WCoDK0sxFawgNj8hoCSrYQAvD_BwE" w:history="1">
        <w:r>
          <w:rPr>
            <w:color w:val="0563c1"/>
            <w:u w:val="single"/>
            <w:rtl w:val="0"/>
          </w:rPr>
          <w:t xml:space="preserve">https://www.pacific.com.tw/?gad_source=1&amp;gclid=CjwKCAiAmrS7BhBJEiwAei59i5W6Wlb3eOXBvIIwQzcTdtpVA90ykfvYGdOvm0WCoDK0sxFawgNj8hoCSrYQAvD_BwE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999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6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好房網: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8" w:tooltip="https://buy.housefun.com.tw/" w:history="1">
        <w:r>
          <w:rPr>
            <w:color w:val="0563c1"/>
            <w:u w:val="single"/>
            <w:rtl w:val="0"/>
          </w:rPr>
          <w:t xml:space="preserve">https://buy.housefun.com.tw/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1000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7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rFonts w:ascii="DFKai-SB" w:hAnsi="DFKai-SB" w:eastAsia="DFKai-SB" w:cs="DFKai-SB"/>
                <w:sz w:val="24"/>
                <w:szCs w:val="24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樂屋網:</w:t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  <w:r>
              <w:rPr>
                <w:rFonts w:ascii="DFKai-SB" w:hAnsi="DFKai-SB" w:eastAsia="DFKai-SB" w:cs="DFKai-SB"/>
                <w:sz w:val="24"/>
                <w:szCs w:val="24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59" w:tooltip="https://www.rakuya.com.tw/sell/result" w:history="1">
        <w:r>
          <w:rPr>
            <w:color w:val="0563c1"/>
            <w:u w:val="single"/>
            <w:rtl w:val="0"/>
          </w:rPr>
          <w:t xml:space="preserve">https://www.rakuya.com.tw/sell/result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tbl>
      <w:tblPr>
        <w:tblStyle w:val="1001"/>
        <w:tblW w:w="1865" w:type="dxa"/>
        <w:tblBorders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  <w:insideH w:val="none" w:color="000000" w:sz="0" w:space="0"/>
          <w:insideV w:val="none" w:color="000000" w:sz="0" w:space="0"/>
        </w:tblBorders>
        <w:tblLayout w:type="fixed"/>
        <w:tblLook w:val="0600" w:firstRow="0" w:lastRow="0" w:firstColumn="0" w:lastColumn="0" w:noHBand="1" w:noVBand="1"/>
      </w:tblPr>
      <w:tblGrid>
        <w:gridCol w:w="1865"/>
        <w:tblGridChange w:id="8">
          <w:tblGrid>
            <w:gridCol w:w="1865"/>
          </w:tblGrid>
        </w:tblGridChange>
      </w:tblGrid>
      <w:tr>
        <w:trPr>
          <w:cantSplit w:val="false"/>
          <w:trHeight w:val="560"/>
        </w:trPr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Mar>
              <w:left w:w="100" w:type="dxa"/>
              <w:top w:w="100" w:type="dxa"/>
              <w:right w:w="100" w:type="dxa"/>
              <w:bottom w:w="100" w:type="dxa"/>
            </w:tcMar>
            <w:vAlign w:val="top"/>
            <w:textDirection w:val="lrTb"/>
            <w:noWrap w:val="false"/>
          </w:tcPr>
          <w:p>
            <w:pPr>
              <w:widowControl w:val="false"/>
              <w:pBdr/>
              <w:spacing w:line="360" w:lineRule="auto"/>
              <w:ind/>
              <w:rPr>
                <w:color w:val="0563c1"/>
                <w:u w:val="single"/>
              </w:rPr>
            </w:pPr>
            <w:r>
              <w:rPr>
                <w:rFonts w:ascii="DFKai-SB" w:hAnsi="DFKai-SB" w:eastAsia="DFKai-SB" w:cs="DFKai-SB"/>
                <w:sz w:val="24"/>
                <w:szCs w:val="24"/>
                <w:rtl w:val="0"/>
              </w:rPr>
              <w:t xml:space="preserve">台慶不動產:</w:t>
            </w:r>
            <w:r>
              <w:rPr>
                <w:color w:val="0563c1"/>
                <w:u w:val="single"/>
              </w:rPr>
            </w:r>
            <w:r>
              <w:rPr>
                <w:color w:val="0563c1"/>
                <w:u w:val="single"/>
              </w:rPr>
            </w:r>
          </w:p>
        </w:tc>
      </w:tr>
    </w:tbl>
    <w:p>
      <w:pPr>
        <w:widowControl w:val="false"/>
        <w:pBdr/>
        <w:spacing w:line="360" w:lineRule="auto"/>
        <w:ind/>
        <w:rPr>
          <w:color w:val="0563c1"/>
          <w:u w:val="single"/>
        </w:rPr>
      </w:pPr>
      <w:r/>
      <w:hyperlink r:id="rId60" w:tooltip="https://buy.taiching.com.tw/" w:history="1">
        <w:r>
          <w:rPr>
            <w:color w:val="0563c1"/>
            <w:u w:val="single"/>
            <w:rtl w:val="0"/>
          </w:rPr>
          <w:t xml:space="preserve">https://buy.taiching.com.tw/</w:t>
        </w:r>
      </w:hyperlink>
      <w:r>
        <w:rPr>
          <w:color w:val="0563c1"/>
          <w:u w:val="single"/>
        </w:rPr>
      </w:r>
      <w:r>
        <w:rPr>
          <w:color w:val="0563c1"/>
          <w:u w:val="single"/>
        </w:rPr>
      </w:r>
    </w:p>
    <w:p>
      <w:pPr>
        <w:widowControl w:val="false"/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p>
      <w:pPr>
        <w:pBdr/>
        <w:spacing w:line="360" w:lineRule="auto"/>
        <w:ind/>
        <w:rPr>
          <w:rFonts w:ascii="DFKai-SB" w:hAnsi="DFKai-SB" w:eastAsia="DFKai-SB" w:cs="DFKai-SB"/>
          <w:sz w:val="24"/>
          <w:szCs w:val="24"/>
        </w:rPr>
      </w:pPr>
      <w:r>
        <w:rPr>
          <w:rtl w:val="0"/>
        </w:rPr>
      </w:r>
      <w:r>
        <w:rPr>
          <w:rFonts w:ascii="DFKai-SB" w:hAnsi="DFKai-SB" w:eastAsia="DFKai-SB" w:cs="DFKai-SB"/>
          <w:sz w:val="24"/>
          <w:szCs w:val="24"/>
        </w:rPr>
      </w:r>
      <w:r>
        <w:rPr>
          <w:rFonts w:ascii="DFKai-SB" w:hAnsi="DFKai-SB" w:eastAsia="DFKai-SB" w:cs="DFKai-SB"/>
          <w:sz w:val="24"/>
          <w:szCs w:val="24"/>
        </w:rPr>
      </w:r>
    </w:p>
    <w:sectPr>
      <w:headerReference w:type="default" r:id="rId9"/>
      <w:headerReference w:type="first" r:id="rId10"/>
      <w:footerReference w:type="default" r:id="rId11"/>
      <w:footerReference w:type="first" r:id="rId12"/>
      <w:footnotePr/>
      <w:endnotePr/>
      <w:type w:val="nextPage"/>
      <w:pgSz w:h="16834" w:orient="portrait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Cambria Math">
    <w:panose1 w:val="02040503050406030204"/>
  </w:font>
  <w:font w:name="標楷體">
    <w:panose1 w:val="03000509000000000000"/>
  </w:font>
  <w:font w:name="DFKai-SB">
    <w:panose1 w:val="03000509000000000000"/>
  </w:font>
  <w:font w:name="Symbol">
    <w:panose1 w:val="05050102010706020507"/>
  </w:font>
  <w:font w:name="Wingdings">
    <w:panose1 w:val="05000000000000000000"/>
  </w:font>
  <w:font w:name="Noto Sans Symbols">
    <w:panose1 w:val="05040102010807070707"/>
  </w:font>
  <w:font w:name="Courier New">
    <w:panose1 w:val="020703090202050204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jc w:val="right"/>
      <w:rPr/>
    </w:pPr>
    <w:r>
      <w:fldChar w:fldCharType="begin"/>
      <w:instrText xml:space="preserve">PAGE</w:instrText>
      <w:fldChar w:fldCharType="separate"/>
      <w:fldChar w:fldCharType="end"/>
    </w:r>
    <w:r>
      <w:rPr>
        <w:rtl w:val="0"/>
      </w:rPr>
    </w:r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w:rPr>
        <w:rtl w:val="0"/>
      </w:rPr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8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0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1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2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3">
      <w:isLgl w:val="false"/>
      <w:lvlJc w:val="left"/>
      <w:lvlText w:val="▪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4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6">
      <w:isLgl w:val="false"/>
      <w:lvlJc w:val="left"/>
      <w:lvlText w:val="▪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7">
      <w:isLgl w:val="false"/>
      <w:lvlJc w:val="left"/>
      <w:lvlText w:val="▪"/>
      <w:numFmt w:val="bullet"/>
      <w:pPr>
        <w:pBdr/>
        <w:spacing/>
        <w:ind w:hanging="360" w:left="57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4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16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7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9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0">
    <w:lvl w:ilvl="0">
      <w:isLgl w:val="false"/>
      <w:lvlJc w:val="righ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1">
    <w:lvl w:ilvl="0">
      <w:isLgl w:val="false"/>
      <w:lvlJc w:val="left"/>
      <w:lvlText w:val="●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648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7200"/>
      </w:pPr>
      <w:rPr>
        <w:u w:val="none"/>
      </w:rPr>
      <w:start w:val="1"/>
      <w:suff w:val="tab"/>
    </w:lvl>
  </w:abstractNum>
  <w:abstractNum w:abstractNumId="22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3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4">
    <w:lvl w:ilvl="0">
      <w:isLgl w:val="false"/>
      <w:lvlJc w:val="left"/>
      <w:lvlText w:val="%1."/>
      <w:numFmt w:val="decimal"/>
      <w:pPr>
        <w:pBdr/>
        <w:spacing/>
        <w:ind w:hanging="360" w:left="144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6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88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60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432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504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6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648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7200"/>
      </w:pPr>
      <w:rPr/>
      <w:start w:val="1"/>
      <w:suff w:val="tab"/>
    </w:lvl>
  </w:abstractNum>
  <w:abstractNum w:abstractNumId="25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6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7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▪"/>
      <w:numFmt w:val="bullet"/>
      <w:pPr>
        <w:pBdr/>
        <w:spacing/>
        <w:ind w:hanging="360" w:left="21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3">
      <w:isLgl w:val="false"/>
      <w:lvlJc w:val="left"/>
      <w:lvlText w:val="▪"/>
      <w:numFmt w:val="bullet"/>
      <w:pPr>
        <w:pBdr/>
        <w:spacing/>
        <w:ind w:hanging="360" w:left="28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4">
      <w:isLgl w:val="false"/>
      <w:lvlJc w:val="left"/>
      <w:lvlText w:val="▪"/>
      <w:numFmt w:val="bullet"/>
      <w:pPr>
        <w:pBdr/>
        <w:spacing/>
        <w:ind w:hanging="360" w:left="360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5">
      <w:isLgl w:val="false"/>
      <w:lvlJc w:val="left"/>
      <w:lvlText w:val="▪"/>
      <w:numFmt w:val="bullet"/>
      <w:pPr>
        <w:pBdr/>
        <w:spacing/>
        <w:ind w:hanging="360" w:left="432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6">
      <w:isLgl w:val="false"/>
      <w:lvlJc w:val="left"/>
      <w:lvlText w:val="▪"/>
      <w:numFmt w:val="bullet"/>
      <w:pPr>
        <w:pBdr/>
        <w:spacing/>
        <w:ind w:hanging="360" w:left="504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7">
      <w:isLgl w:val="false"/>
      <w:lvlJc w:val="left"/>
      <w:lvlText w:val="▪"/>
      <w:numFmt w:val="bullet"/>
      <w:pPr>
        <w:pBdr/>
        <w:spacing/>
        <w:ind w:hanging="360" w:left="576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  <w:lvl w:ilvl="8">
      <w:isLgl w:val="false"/>
      <w:lvlJc w:val="left"/>
      <w:lvlText w:val="▪"/>
      <w:numFmt w:val="bullet"/>
      <w:pPr>
        <w:pBdr/>
        <w:spacing/>
        <w:ind w:hanging="360" w:left="6480"/>
      </w:pPr>
      <w:rPr>
        <w:rFonts w:ascii="Noto Sans Symbols" w:hAnsi="Noto Sans Symbols" w:eastAsia="Noto Sans Symbols" w:cs="Noto Sans Symbols"/>
        <w:sz w:val="20"/>
        <w:szCs w:val="20"/>
      </w:rPr>
      <w:start w:val="1"/>
      <w:suff w:val="tab"/>
    </w:lvl>
  </w:abstractNum>
  <w:abstractNum w:abstractNumId="28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decimal"/>
      <w:pPr>
        <w:pBdr/>
        <w:spacing/>
        <w:ind w:hanging="360" w:left="1440"/>
      </w:pPr>
      <w:rPr/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29"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40"/>
      </w:pPr>
      <w:rPr>
        <w:rFonts w:ascii="Courier New" w:hAnsi="Courier New" w:eastAsia="Courier New" w:cs="Courier New"/>
        <w:sz w:val="20"/>
        <w:szCs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/>
      <w:start w:val="1"/>
      <w:suff w:val="tab"/>
    </w:lvl>
  </w:abstractNum>
  <w:abstractNum w:abstractNumId="30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1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2">
    <w:lvl w:ilvl="0">
      <w:isLgl w:val="false"/>
      <w:lvlJc w:val="righ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righ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righ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34">
    <w:lvl w:ilvl="0">
      <w:isLgl w:val="false"/>
      <w:lvlJc w:val="left"/>
      <w:lvlText w:val="%1."/>
      <w:numFmt w:val="decimal"/>
      <w:pPr>
        <w:pBdr/>
        <w:spacing/>
        <w:ind w:hanging="360" w:left="36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96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144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192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24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288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336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384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4320"/>
      </w:pPr>
      <w:rPr/>
      <w:start w:val="1"/>
      <w:suff w:val="tab"/>
    </w:lvl>
  </w:abstractNum>
  <w:abstractNum w:abstractNumId="35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6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7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8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39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0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1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2">
    <w:lvl w:ilvl="0">
      <w:isLgl w:val="false"/>
      <w:lvlJc w:val="left"/>
      <w:lvlText w:val="–"/>
      <w:numFmt w:val="bullet"/>
      <w:pPr>
        <w:pBdr/>
        <w:spacing/>
        <w:ind w:hanging="360" w:left="2137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857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3577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4297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5017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737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6457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7177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897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3">
    <w:lvl w:ilvl="0">
      <w:isLgl w:val="false"/>
      <w:lvlJc w:val="left"/>
      <w:lvlText w:val="%1."/>
      <w:numFmt w:val="decimal"/>
      <w:pPr>
        <w:pBdr/>
        <w:spacing/>
        <w:ind w:hanging="360" w:left="1080"/>
      </w:pPr>
      <w:rPr/>
      <w:start w:val="1"/>
      <w:suff w:val="tab"/>
    </w:lvl>
    <w:lvl w:ilvl="1">
      <w:isLgl w:val="false"/>
      <w:lvlJc w:val="left"/>
      <w:lvlText w:val="%2、"/>
      <w:numFmt w:val="decimal"/>
      <w:pPr>
        <w:pBdr/>
        <w:spacing/>
        <w:ind w:hanging="480" w:left="16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4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480" w:left="2640"/>
      </w:pPr>
      <w:rPr/>
      <w:start w:val="1"/>
      <w:suff w:val="tab"/>
    </w:lvl>
    <w:lvl w:ilvl="4">
      <w:isLgl w:val="false"/>
      <w:lvlJc w:val="left"/>
      <w:lvlText w:val="%5、"/>
      <w:numFmt w:val="decimal"/>
      <w:pPr>
        <w:pBdr/>
        <w:spacing/>
        <w:ind w:hanging="480" w:left="312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480" w:left="360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480" w:left="4080"/>
      </w:pPr>
      <w:rPr/>
      <w:start w:val="1"/>
      <w:suff w:val="tab"/>
    </w:lvl>
    <w:lvl w:ilvl="7">
      <w:isLgl w:val="false"/>
      <w:lvlJc w:val="left"/>
      <w:lvlText w:val="%8、"/>
      <w:numFmt w:val="decimal"/>
      <w:pPr>
        <w:pBdr/>
        <w:spacing/>
        <w:ind w:hanging="480" w:left="45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480" w:left="5040"/>
      </w:pPr>
      <w:rPr/>
      <w:start w:val="1"/>
      <w:suff w:val="tab"/>
    </w:lvl>
  </w:abstractNum>
  <w:abstractNum w:abstractNumId="44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5">
    <w:lvl w:ilvl="0">
      <w:isLgl w:val="false"/>
      <w:lvlJc w:val="left"/>
      <w:lvlText w:val="–"/>
      <w:numFmt w:val="bullet"/>
      <w:pPr>
        <w:pBdr/>
        <w:spacing/>
        <w:ind w:hanging="360" w:left="142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214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86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358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430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502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74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646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7189"/>
      </w:pPr>
      <w:rPr>
        <w:rFonts w:hint="default" w:ascii="Wingdings" w:hAnsi="Wingdings" w:eastAsia="Wingdings" w:cs="Wingdings"/>
      </w:rPr>
      <w:start w:val="1"/>
      <w:suff w:val="tab"/>
    </w:lvl>
  </w:abstractNum>
  <w:abstractNum w:abstractNumId="46">
    <w:lvl w:ilvl="0">
      <w:isLgl w:val="false"/>
      <w:lvlJc w:val="left"/>
      <w:lvlText w:val="–"/>
      <w:numFmt w:val="bullet"/>
      <w:pPr>
        <w:pBdr/>
        <w:spacing/>
        <w:ind w:hanging="360" w:left="709"/>
      </w:pPr>
      <w:rPr>
        <w:rFonts w:hint="default" w:ascii="Arial" w:hAnsi="Arial" w:eastAsia="Arial" w:cs="Arial"/>
      </w:rPr>
      <w:start w:val="1"/>
      <w:suff w:val="tab"/>
    </w:lvl>
    <w:lvl w:ilvl="1">
      <w:isLgl w:val="false"/>
      <w:lvlJc w:val="left"/>
      <w:lvlText w:val="o"/>
      <w:numFmt w:val="bullet"/>
      <w:pPr>
        <w:pBdr/>
        <w:spacing/>
        <w:ind w:hanging="360" w:left="1429"/>
      </w:pPr>
      <w:rPr>
        <w:rFonts w:hint="default" w:ascii="Courier New" w:hAnsi="Courier New" w:eastAsia="Courier New" w:cs="Courier New"/>
      </w:rPr>
      <w:start w:val="1"/>
      <w:suff w:val="tab"/>
    </w:lvl>
    <w:lvl w:ilvl="2">
      <w:isLgl w:val="false"/>
      <w:lvlJc w:val="left"/>
      <w:lvlText w:val="§"/>
      <w:numFmt w:val="bullet"/>
      <w:pPr>
        <w:pBdr/>
        <w:spacing/>
        <w:ind w:hanging="360" w:left="2149"/>
      </w:pPr>
      <w:rPr>
        <w:rFonts w:hint="default" w:ascii="Wingdings" w:hAnsi="Wingdings" w:eastAsia="Wingdings" w:cs="Wingdings"/>
      </w:rPr>
      <w:start w:val="1"/>
      <w:suff w:val="tab"/>
    </w:lvl>
    <w:lvl w:ilvl="3">
      <w:isLgl w:val="false"/>
      <w:lvlJc w:val="left"/>
      <w:lvlText w:val="·"/>
      <w:numFmt w:val="bullet"/>
      <w:pPr>
        <w:pBdr/>
        <w:spacing/>
        <w:ind w:hanging="360" w:left="2869"/>
      </w:pPr>
      <w:rPr>
        <w:rFonts w:hint="default" w:ascii="Symbol" w:hAnsi="Symbol" w:eastAsia="Symbol" w:cs="Symbol"/>
      </w:rPr>
      <w:start w:val="1"/>
      <w:suff w:val="tab"/>
    </w:lvl>
    <w:lvl w:ilvl="4">
      <w:isLgl w:val="false"/>
      <w:lvlJc w:val="left"/>
      <w:lvlText w:val="o"/>
      <w:numFmt w:val="bullet"/>
      <w:pPr>
        <w:pBdr/>
        <w:spacing/>
        <w:ind w:hanging="360" w:left="3589"/>
      </w:pPr>
      <w:rPr>
        <w:rFonts w:hint="default" w:ascii="Courier New" w:hAnsi="Courier New" w:eastAsia="Courier New" w:cs="Courier New"/>
      </w:rPr>
      <w:start w:val="1"/>
      <w:suff w:val="tab"/>
    </w:lvl>
    <w:lvl w:ilvl="5">
      <w:isLgl w:val="false"/>
      <w:lvlJc w:val="left"/>
      <w:lvlText w:val="§"/>
      <w:numFmt w:val="bullet"/>
      <w:pPr>
        <w:pBdr/>
        <w:spacing/>
        <w:ind w:hanging="360" w:left="4309"/>
      </w:pPr>
      <w:rPr>
        <w:rFonts w:hint="default" w:ascii="Wingdings" w:hAnsi="Wingdings" w:eastAsia="Wingdings" w:cs="Wingdings"/>
      </w:rPr>
      <w:start w:val="1"/>
      <w:suff w:val="tab"/>
    </w:lvl>
    <w:lvl w:ilvl="6">
      <w:isLgl w:val="false"/>
      <w:lvlJc w:val="left"/>
      <w:lvlText w:val="·"/>
      <w:numFmt w:val="bullet"/>
      <w:pPr>
        <w:pBdr/>
        <w:spacing/>
        <w:ind w:hanging="360" w:left="5029"/>
      </w:pPr>
      <w:rPr>
        <w:rFonts w:hint="default" w:ascii="Symbol" w:hAnsi="Symbol" w:eastAsia="Symbol" w:cs="Symbol"/>
      </w:rPr>
      <w:start w:val="1"/>
      <w:suff w:val="tab"/>
    </w:lvl>
    <w:lvl w:ilvl="7">
      <w:isLgl w:val="false"/>
      <w:lvlJc w:val="left"/>
      <w:lvlText w:val="o"/>
      <w:numFmt w:val="bullet"/>
      <w:pPr>
        <w:pBdr/>
        <w:spacing/>
        <w:ind w:hanging="360" w:left="5749"/>
      </w:pPr>
      <w:rPr>
        <w:rFonts w:hint="default" w:ascii="Courier New" w:hAnsi="Courier New" w:eastAsia="Courier New" w:cs="Courier New"/>
      </w:rPr>
      <w:start w:val="1"/>
      <w:suff w:val="tab"/>
    </w:lvl>
    <w:lvl w:ilvl="8">
      <w:isLgl w:val="false"/>
      <w:lvlJc w:val="left"/>
      <w:lvlText w:val="§"/>
      <w:numFmt w:val="bullet"/>
      <w:pPr>
        <w:pBdr/>
        <w:spacing/>
        <w:ind w:hanging="360" w:left="6469"/>
      </w:pPr>
      <w:rPr>
        <w:rFonts w:hint="default" w:ascii="Wingdings" w:hAnsi="Wingdings" w:eastAsia="Wingdings" w:cs="Wingdings"/>
      </w:rPr>
      <w:start w:val="1"/>
      <w:suff w:val="tab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zh-TW" w:eastAsia="zh-CN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807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Table Grid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Table Grid Light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Plain Table 1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Plain Table 2"/>
    <w:basedOn w:val="807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Plain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Plain Table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Plain Table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1 Light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1 Light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1 Light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1 Light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1 Light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1 Light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1 Light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2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2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2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2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2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2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3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3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3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3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3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3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4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4 - Accent 1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4 - Accent 2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4 - Accent 3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4 - Accent 4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4 - Accent 5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4 - Accent 6"/>
    <w:basedOn w:val="807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5 Dark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5 Dark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5 Dark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5 Dark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5 Dark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5 Dark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5 Dark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Grid Table 6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Grid Table 6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Grid Table 6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Grid Table 6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Grid Table 6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Grid Table 6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Grid Table 6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Grid Table 7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Grid Table 7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Grid Table 7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Grid Table 7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Grid Table 7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Grid Table 7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Grid Table 7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1 Light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1 Light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1 Light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1 Light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1 Light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1 Light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1 Light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2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2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2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2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2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2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3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3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3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3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3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3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4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4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4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4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4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4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5 Dark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5 Dark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5 Dark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5 Dark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5 Dark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5 Dark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5 Dark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st Table 6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st Table 6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st Table 6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st Table 6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st Table 6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st Table 6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st Table 6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List Table 7 Colorful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List Table 7 Colorful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List Table 7 Colorful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List Table 7 Colorful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List Table 7 Colorful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List Table 7 Colorful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List Table 7 Colorful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Lined - Accent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Lined - Accent 1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Lined - Accent 2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Lined - Accent 3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Lined - Accent 4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Lined - Accent 5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Lined - Accent 6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0">
    <w:name w:val="Bordered &amp; Lined - Accent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1">
    <w:name w:val="Bordered &amp; Lined - Accent 1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2">
    <w:name w:val="Bordered &amp; Lined - Accent 2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3">
    <w:name w:val="Bordered &amp; Lined - Accent 3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4">
    <w:name w:val="Bordered &amp; Lined - Accent 4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5">
    <w:name w:val="Bordered &amp; Lined - Accent 5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6">
    <w:name w:val="Bordered &amp; Lined - Accent 6"/>
    <w:basedOn w:val="807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7">
    <w:name w:val="Bordered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8">
    <w:name w:val="Bordered - Accent 1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9">
    <w:name w:val="Bordered - Accent 2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0">
    <w:name w:val="Bordered - Accent 3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1">
    <w:name w:val="Bordered - Accent 4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2">
    <w:name w:val="Bordered - Accent 5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3">
    <w:name w:val="Bordered - Accent 6"/>
    <w:basedOn w:val="807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34">
    <w:name w:val="Heading 7"/>
    <w:basedOn w:val="978"/>
    <w:next w:val="978"/>
    <w:link w:val="94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35">
    <w:name w:val="Heading 8"/>
    <w:basedOn w:val="978"/>
    <w:next w:val="978"/>
    <w:link w:val="94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36">
    <w:name w:val="Heading 9"/>
    <w:basedOn w:val="978"/>
    <w:next w:val="978"/>
    <w:link w:val="94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37" w:default="1">
    <w:name w:val="Default Paragraph Font"/>
    <w:uiPriority w:val="1"/>
    <w:semiHidden/>
    <w:unhideWhenUsed/>
    <w:pPr>
      <w:pBdr/>
      <w:spacing/>
      <w:ind/>
    </w:pPr>
  </w:style>
  <w:style w:type="numbering" w:styleId="938" w:default="1">
    <w:name w:val="No List"/>
    <w:uiPriority w:val="99"/>
    <w:semiHidden/>
    <w:unhideWhenUsed/>
    <w:pPr>
      <w:pBdr/>
      <w:spacing/>
      <w:ind/>
    </w:pPr>
  </w:style>
  <w:style w:type="character" w:styleId="939">
    <w:name w:val="Heading 1 Char"/>
    <w:basedOn w:val="937"/>
    <w:link w:val="98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40">
    <w:name w:val="Heading 2 Char"/>
    <w:basedOn w:val="937"/>
    <w:link w:val="98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41">
    <w:name w:val="Heading 3 Char"/>
    <w:basedOn w:val="937"/>
    <w:link w:val="98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42">
    <w:name w:val="Heading 4 Char"/>
    <w:basedOn w:val="937"/>
    <w:link w:val="983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43">
    <w:name w:val="Heading 5 Char"/>
    <w:basedOn w:val="937"/>
    <w:link w:val="984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44">
    <w:name w:val="Heading 6 Char"/>
    <w:basedOn w:val="937"/>
    <w:link w:val="985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45">
    <w:name w:val="Heading 7 Char"/>
    <w:basedOn w:val="937"/>
    <w:link w:val="93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46">
    <w:name w:val="Heading 8 Char"/>
    <w:basedOn w:val="937"/>
    <w:link w:val="93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7">
    <w:name w:val="Heading 9 Char"/>
    <w:basedOn w:val="937"/>
    <w:link w:val="93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48">
    <w:name w:val="Title Char"/>
    <w:basedOn w:val="937"/>
    <w:link w:val="986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49">
    <w:name w:val="Subtitle Char"/>
    <w:basedOn w:val="937"/>
    <w:link w:val="987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50">
    <w:name w:val="Quote"/>
    <w:basedOn w:val="978"/>
    <w:next w:val="978"/>
    <w:link w:val="951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51">
    <w:name w:val="Quote Char"/>
    <w:basedOn w:val="937"/>
    <w:link w:val="950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952">
    <w:name w:val="List Paragraph"/>
    <w:basedOn w:val="978"/>
    <w:uiPriority w:val="34"/>
    <w:qFormat/>
    <w:pPr>
      <w:pBdr/>
      <w:spacing/>
      <w:ind w:left="720"/>
      <w:contextualSpacing w:val="true"/>
    </w:pPr>
  </w:style>
  <w:style w:type="character" w:styleId="953">
    <w:name w:val="Intense Emphasis"/>
    <w:basedOn w:val="937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54">
    <w:name w:val="Intense Quote"/>
    <w:basedOn w:val="978"/>
    <w:next w:val="978"/>
    <w:link w:val="955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55">
    <w:name w:val="Intense Quote Char"/>
    <w:basedOn w:val="937"/>
    <w:link w:val="954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56">
    <w:name w:val="Intense Reference"/>
    <w:basedOn w:val="937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957">
    <w:name w:val="No Spacing"/>
    <w:basedOn w:val="978"/>
    <w:uiPriority w:val="1"/>
    <w:qFormat/>
    <w:pPr>
      <w:pBdr/>
      <w:spacing w:after="0" w:line="240" w:lineRule="auto"/>
      <w:ind/>
    </w:pPr>
  </w:style>
  <w:style w:type="character" w:styleId="958">
    <w:name w:val="Subtle Emphasis"/>
    <w:basedOn w:val="937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59">
    <w:name w:val="Emphasis"/>
    <w:basedOn w:val="937"/>
    <w:uiPriority w:val="20"/>
    <w:qFormat/>
    <w:pPr>
      <w:pBdr/>
      <w:spacing/>
      <w:ind/>
    </w:pPr>
    <w:rPr>
      <w:i/>
      <w:iCs/>
    </w:rPr>
  </w:style>
  <w:style w:type="character" w:styleId="960">
    <w:name w:val="Strong"/>
    <w:basedOn w:val="937"/>
    <w:uiPriority w:val="22"/>
    <w:qFormat/>
    <w:pPr>
      <w:pBdr/>
      <w:spacing/>
      <w:ind/>
    </w:pPr>
    <w:rPr>
      <w:b/>
      <w:bCs/>
    </w:rPr>
  </w:style>
  <w:style w:type="character" w:styleId="961">
    <w:name w:val="Subtle Reference"/>
    <w:basedOn w:val="937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62">
    <w:name w:val="Book Title"/>
    <w:basedOn w:val="937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963">
    <w:name w:val="Header"/>
    <w:basedOn w:val="978"/>
    <w:link w:val="964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64">
    <w:name w:val="Header Char"/>
    <w:basedOn w:val="937"/>
    <w:link w:val="963"/>
    <w:uiPriority w:val="99"/>
    <w:pPr>
      <w:pBdr/>
      <w:spacing/>
      <w:ind/>
    </w:pPr>
  </w:style>
  <w:style w:type="paragraph" w:styleId="965">
    <w:name w:val="Footer"/>
    <w:basedOn w:val="978"/>
    <w:link w:val="966"/>
    <w:uiPriority w:val="99"/>
    <w:unhideWhenUsed/>
    <w:pPr>
      <w:pBdr/>
      <w:tabs>
        <w:tab w:val="bar" w:leader="none" w:pos="4844"/>
        <w:tab w:val="bar" w:leader="none" w:pos="9689"/>
      </w:tabs>
      <w:spacing w:after="0" w:line="240" w:lineRule="auto"/>
      <w:ind/>
    </w:pPr>
  </w:style>
  <w:style w:type="character" w:styleId="966">
    <w:name w:val="Footer Char"/>
    <w:basedOn w:val="937"/>
    <w:link w:val="965"/>
    <w:uiPriority w:val="99"/>
    <w:pPr>
      <w:pBdr/>
      <w:spacing/>
      <w:ind/>
    </w:pPr>
  </w:style>
  <w:style w:type="paragraph" w:styleId="967">
    <w:name w:val="Caption"/>
    <w:basedOn w:val="978"/>
    <w:next w:val="978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68">
    <w:name w:val="footnote text"/>
    <w:basedOn w:val="978"/>
    <w:link w:val="969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69">
    <w:name w:val="Footnote Text Char"/>
    <w:basedOn w:val="937"/>
    <w:link w:val="968"/>
    <w:uiPriority w:val="99"/>
    <w:semiHidden/>
    <w:pPr>
      <w:pBdr/>
      <w:spacing/>
      <w:ind/>
    </w:pPr>
    <w:rPr>
      <w:sz w:val="20"/>
      <w:szCs w:val="20"/>
    </w:rPr>
  </w:style>
  <w:style w:type="character" w:styleId="970">
    <w:name w:val="foot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paragraph" w:styleId="971">
    <w:name w:val="endnote text"/>
    <w:basedOn w:val="978"/>
    <w:link w:val="97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72">
    <w:name w:val="Endnote Text Char"/>
    <w:basedOn w:val="937"/>
    <w:link w:val="971"/>
    <w:uiPriority w:val="99"/>
    <w:semiHidden/>
    <w:pPr>
      <w:pBdr/>
      <w:spacing/>
      <w:ind/>
    </w:pPr>
    <w:rPr>
      <w:sz w:val="20"/>
      <w:szCs w:val="20"/>
    </w:rPr>
  </w:style>
  <w:style w:type="character" w:styleId="973">
    <w:name w:val="endnote reference"/>
    <w:basedOn w:val="937"/>
    <w:uiPriority w:val="99"/>
    <w:semiHidden/>
    <w:unhideWhenUsed/>
    <w:pPr>
      <w:pBdr/>
      <w:spacing/>
      <w:ind/>
    </w:pPr>
    <w:rPr>
      <w:vertAlign w:val="superscript"/>
    </w:rPr>
  </w:style>
  <w:style w:type="character" w:styleId="974">
    <w:name w:val="Hyperlink"/>
    <w:basedOn w:val="937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75">
    <w:name w:val="FollowedHyperlink"/>
    <w:basedOn w:val="937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76">
    <w:name w:val="TOC Heading"/>
    <w:uiPriority w:val="39"/>
    <w:unhideWhenUsed/>
    <w:pPr>
      <w:pBdr/>
      <w:spacing/>
      <w:ind/>
    </w:pPr>
  </w:style>
  <w:style w:type="paragraph" w:styleId="977">
    <w:name w:val="table of figures"/>
    <w:basedOn w:val="978"/>
    <w:next w:val="978"/>
    <w:uiPriority w:val="99"/>
    <w:unhideWhenUsed/>
    <w:pPr>
      <w:pBdr/>
      <w:spacing w:after="0" w:afterAutospacing="0"/>
      <w:ind/>
    </w:pPr>
  </w:style>
  <w:style w:type="paragraph" w:styleId="978" w:default="1">
    <w:name w:val="Normal"/>
    <w:pPr>
      <w:pBdr/>
      <w:spacing/>
      <w:ind/>
    </w:pPr>
  </w:style>
  <w:style w:type="table" w:styleId="979">
    <w:name w:val="Table Normal"/>
    <w:pPr>
      <w:pBdr/>
      <w:spacing/>
      <w:ind/>
    </w:pPr>
    <w:tblP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0">
    <w:name w:val="Heading 1"/>
    <w:basedOn w:val="978"/>
    <w:next w:val="978"/>
    <w:pPr>
      <w:keepNext w:val="true"/>
      <w:keepLines w:val="true"/>
      <w:pBdr/>
      <w:spacing w:after="120" w:before="400"/>
      <w:ind/>
    </w:pPr>
    <w:rPr>
      <w:sz w:val="40"/>
      <w:szCs w:val="40"/>
    </w:rPr>
  </w:style>
  <w:style w:type="paragraph" w:styleId="981">
    <w:name w:val="Heading 2"/>
    <w:basedOn w:val="978"/>
    <w:next w:val="978"/>
    <w:pPr>
      <w:keepNext w:val="true"/>
      <w:keepLines w:val="true"/>
      <w:pBdr/>
      <w:spacing w:after="120" w:before="360"/>
      <w:ind/>
    </w:pPr>
    <w:rPr>
      <w:sz w:val="32"/>
      <w:szCs w:val="32"/>
    </w:rPr>
  </w:style>
  <w:style w:type="paragraph" w:styleId="982">
    <w:name w:val="Heading 3"/>
    <w:basedOn w:val="978"/>
    <w:next w:val="978"/>
    <w:pPr>
      <w:keepNext w:val="true"/>
      <w:keepLines w:val="true"/>
      <w:pBdr/>
      <w:spacing w:after="80" w:before="320"/>
      <w:ind/>
    </w:pPr>
    <w:rPr>
      <w:color w:val="434343"/>
      <w:sz w:val="28"/>
      <w:szCs w:val="28"/>
    </w:rPr>
  </w:style>
  <w:style w:type="paragraph" w:styleId="983">
    <w:name w:val="Heading 4"/>
    <w:basedOn w:val="978"/>
    <w:next w:val="978"/>
    <w:pPr>
      <w:keepNext w:val="true"/>
      <w:keepLines w:val="true"/>
      <w:pBdr/>
      <w:spacing w:after="80" w:before="280"/>
      <w:ind/>
    </w:pPr>
    <w:rPr>
      <w:color w:val="666666"/>
      <w:sz w:val="24"/>
      <w:szCs w:val="24"/>
    </w:rPr>
  </w:style>
  <w:style w:type="paragraph" w:styleId="984">
    <w:name w:val="Heading 5"/>
    <w:basedOn w:val="978"/>
    <w:next w:val="978"/>
    <w:pPr>
      <w:keepNext w:val="true"/>
      <w:keepLines w:val="true"/>
      <w:pBdr/>
      <w:spacing w:after="80" w:before="240"/>
      <w:ind/>
    </w:pPr>
    <w:rPr>
      <w:color w:val="666666"/>
    </w:rPr>
  </w:style>
  <w:style w:type="paragraph" w:styleId="985">
    <w:name w:val="Heading 6"/>
    <w:basedOn w:val="978"/>
    <w:next w:val="978"/>
    <w:pPr>
      <w:keepNext w:val="true"/>
      <w:keepLines w:val="true"/>
      <w:pBdr/>
      <w:spacing w:after="80" w:before="240"/>
      <w:ind/>
    </w:pPr>
    <w:rPr>
      <w:i/>
      <w:color w:val="666666"/>
    </w:rPr>
  </w:style>
  <w:style w:type="paragraph" w:styleId="986">
    <w:name w:val="Title"/>
    <w:basedOn w:val="978"/>
    <w:next w:val="978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987">
    <w:name w:val="Subtitle"/>
    <w:basedOn w:val="978"/>
    <w:next w:val="978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988">
    <w:name w:val="StGen0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9">
    <w:name w:val="StGen1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0">
    <w:name w:val="StGen2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1">
    <w:name w:val="StGen3"/>
    <w:basedOn w:val="979"/>
    <w:pPr>
      <w:pBdr/>
      <w:spacing w:line="240" w:lineRule="auto"/>
      <w:ind/>
    </w:pPr>
    <w:tblPr>
      <w:tblStyleRowBandSize w:val="1"/>
      <w:tblStyleColBandSize w:val="1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2">
    <w:name w:val="StGen4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3">
    <w:name w:val="StGen5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4">
    <w:name w:val="StGen6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5">
    <w:name w:val="StGen7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6">
    <w:name w:val="StGen8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7">
    <w:name w:val="StGen9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8">
    <w:name w:val="StGen10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99">
    <w:name w:val="StGen11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0">
    <w:name w:val="StGen12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01">
    <w:name w:val="StGen13"/>
    <w:basedOn w:val="979"/>
    <w:pPr>
      <w:pBdr/>
      <w:spacing/>
      <w:ind/>
    </w:pPr>
    <w:tblPr>
      <w:tblStyleRowBandSize w:val="1"/>
      <w:tblStyleColBandSize w:val="1"/>
      <w:tblBorders/>
      <w:tblCellMar>
        <w:left w:w="100" w:type="dxa"/>
        <w:top w:w="100" w:type="dxa"/>
        <w:right w:w="100" w:type="dxa"/>
        <w:bottom w:w="10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header" Target="header2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pn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2.png"/><Relationship Id="rId25" Type="http://schemas.openxmlformats.org/officeDocument/2006/relationships/image" Target="media/image13.png"/><Relationship Id="rId26" Type="http://schemas.openxmlformats.org/officeDocument/2006/relationships/image" Target="media/image14.png"/><Relationship Id="rId27" Type="http://schemas.openxmlformats.org/officeDocument/2006/relationships/image" Target="media/image15.png"/><Relationship Id="rId28" Type="http://schemas.openxmlformats.org/officeDocument/2006/relationships/image" Target="media/image16.png"/><Relationship Id="rId29" Type="http://schemas.openxmlformats.org/officeDocument/2006/relationships/image" Target="media/image17.pn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png"/><Relationship Id="rId33" Type="http://schemas.openxmlformats.org/officeDocument/2006/relationships/image" Target="media/image21.png"/><Relationship Id="rId34" Type="http://schemas.openxmlformats.org/officeDocument/2006/relationships/image" Target="media/image22.png"/><Relationship Id="rId35" Type="http://schemas.openxmlformats.org/officeDocument/2006/relationships/image" Target="media/image23.png"/><Relationship Id="rId36" Type="http://schemas.openxmlformats.org/officeDocument/2006/relationships/image" Target="media/image24.png"/><Relationship Id="rId37" Type="http://schemas.openxmlformats.org/officeDocument/2006/relationships/image" Target="media/image25.png"/><Relationship Id="rId38" Type="http://schemas.openxmlformats.org/officeDocument/2006/relationships/image" Target="media/image26.png"/><Relationship Id="rId39" Type="http://schemas.openxmlformats.org/officeDocument/2006/relationships/image" Target="media/image27.png"/><Relationship Id="rId40" Type="http://schemas.openxmlformats.org/officeDocument/2006/relationships/image" Target="media/image28.png"/><Relationship Id="rId41" Type="http://schemas.openxmlformats.org/officeDocument/2006/relationships/image" Target="media/image29.png"/><Relationship Id="rId42" Type="http://schemas.openxmlformats.org/officeDocument/2006/relationships/image" Target="media/image30.png"/><Relationship Id="rId43" Type="http://schemas.openxmlformats.org/officeDocument/2006/relationships/image" Target="media/image31.png"/><Relationship Id="rId44" Type="http://schemas.openxmlformats.org/officeDocument/2006/relationships/image" Target="media/image32.png"/><Relationship Id="rId45" Type="http://schemas.openxmlformats.org/officeDocument/2006/relationships/image" Target="media/image33.png"/><Relationship Id="rId46" Type="http://schemas.openxmlformats.org/officeDocument/2006/relationships/hyperlink" Target="https://public.tableau.com/views/_17350963058970/1_1?:language=zh-TW&amp;publish=yes&amp;:sid=&amp;:redirect=auth&amp;:display_count=n&amp;:origin=viz_share_link" TargetMode="External"/><Relationship Id="rId47" Type="http://schemas.openxmlformats.org/officeDocument/2006/relationships/hyperlink" Target="https://applealmondrealty.com/posts/16827" TargetMode="External"/><Relationship Id="rId48" Type="http://schemas.openxmlformats.org/officeDocument/2006/relationships/hyperlink" Target="https://www.housefeel.com.tw/article/%e4%bd%a0%e7%9f%a5%e9%81%93%e6%88%bf%e5%b8%82%e6%ba%ab%e5%ba%a6%e8%a8%88%ef%bc%8c329%e3%80%81520%e3%80%81928%e6%aa%94%e6%9c%9f%e5%97%8e%ef%bc%9f/" TargetMode="External"/><Relationship Id="rId49" Type="http://schemas.openxmlformats.org/officeDocument/2006/relationships/hyperlink" Target="https://www.great-home.com.tw/News/Detail.aspx?Num=4246" TargetMode="External"/><Relationship Id="rId50" Type="http://schemas.openxmlformats.org/officeDocument/2006/relationships/hyperlink" Target="https://buy.u-trust.com.tw/" TargetMode="External"/><Relationship Id="rId51" Type="http://schemas.openxmlformats.org/officeDocument/2006/relationships/hyperlink" Target="https://www.sinyi.com.tw/buy/list?gad_source=1&amp;gclid=CjwKCAiAmrS7BhBJEiwAei59i2HM50e_wpi8tTmeqS2iXM2UtIZ5orRcU7GyTQ_P9CvRE6ronroWuxoC3iUQAvD_BwE" TargetMode="External"/><Relationship Id="rId52" Type="http://schemas.openxmlformats.org/officeDocument/2006/relationships/hyperlink" Target="https://buy.yungching.com.tw/list/%E5%8F%B0%E5%8C%97%E5%B8%82-_c/pricereduction_filter?utm_source=google&amp;utm_medium=cpc&amp;utm_content=dr_brand&amp;gad_source=1&amp;gclid=CjwKCAiAmrS7BhBJEiwAei59i-uytFpLdvkeOAM1oeswUmM82gH30xFfL8E4-dzTAWWNO3SZXueRFhoCLjIQAvD_BwE" TargetMode="External"/><Relationship Id="rId53" Type="http://schemas.openxmlformats.org/officeDocument/2006/relationships/hyperlink" Target="https://www.houseol.com.tw/" TargetMode="External"/><Relationship Id="rId54" Type="http://schemas.openxmlformats.org/officeDocument/2006/relationships/hyperlink" Target="https://buy.u-trust.com.tw/" TargetMode="External"/><Relationship Id="rId55" Type="http://schemas.openxmlformats.org/officeDocument/2006/relationships/hyperlink" Target="https://buy.cthouse.com.tw/area/%E8%87%BA%E5%8C%97%E5%B8%82-city/" TargetMode="External"/><Relationship Id="rId56" Type="http://schemas.openxmlformats.org/officeDocument/2006/relationships/hyperlink" Target="https://www.hbhousing.com.tw/" TargetMode="External"/><Relationship Id="rId57" Type="http://schemas.openxmlformats.org/officeDocument/2006/relationships/hyperlink" Target="https://www.pacific.com.tw/?gad_source=1&amp;gclid=CjwKCAiAmrS7BhBJEiwAei59i5W6Wlb3eOXBvIIwQzcTdtpVA90ykfvYGdOvm0WCoDK0sxFawgNj8hoCSrYQAvD_BwE" TargetMode="External"/><Relationship Id="rId58" Type="http://schemas.openxmlformats.org/officeDocument/2006/relationships/hyperlink" Target="https://buy.housefun.com.tw/" TargetMode="External"/><Relationship Id="rId59" Type="http://schemas.openxmlformats.org/officeDocument/2006/relationships/hyperlink" Target="https://www.rakuya.com.tw/sell/result" TargetMode="External"/><Relationship Id="rId60" Type="http://schemas.openxmlformats.org/officeDocument/2006/relationships/hyperlink" Target="https://buy.taiching.com.tw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ONLYOFFICE/8.1.0.169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15</cp:revision>
  <dcterms:modified xsi:type="dcterms:W3CDTF">2025-06-10T04:09:24Z</dcterms:modified>
</cp:coreProperties>
</file>