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360" w:lineRule="auto"/>
        <w:ind/>
        <w:rPr>
          <w:rFonts w:ascii="DFKai-SB" w:hAnsi="DFKai-SB" w:eastAsia="DFKai-SB" w:cs="DFKai-SB"/>
          <w:sz w:val="28"/>
          <w:szCs w:val="28"/>
        </w:rPr>
      </w:pP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28"/>
          <w:szCs w:val="28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  <w:highlight w:val="none"/>
        </w:rPr>
      </w:pP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  <w:highlight w:val="none"/>
        </w:rPr>
      </w:pP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  <w:highlight w:val="none"/>
        </w:rPr>
      </w:pP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  <w:highlight w:val="none"/>
        </w:rPr>
      </w:pP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sz w:val="40"/>
          <w:szCs w:val="40"/>
        </w:rPr>
      </w:pP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後疫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情時代台北市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購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買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不動產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趨勢與偏好</w:t>
      </w:r>
      <w:r>
        <w:rPr>
          <w:rFonts w:ascii="標楷體" w:hAnsi="標楷體" w:cs="標楷體"/>
          <w:sz w:val="40"/>
          <w:szCs w:val="40"/>
          <w:highlight w:val="none"/>
        </w:rPr>
      </w:r>
      <w:r>
        <w:rPr>
          <w:rFonts w:ascii="標楷體" w:hAnsi="標楷體" w:eastAsia="標楷體" w:cs="標楷體"/>
          <w:sz w:val="40"/>
          <w:szCs w:val="40"/>
        </w:rPr>
      </w:r>
    </w:p>
    <w:p>
      <w:pPr>
        <w:pBdr/>
        <w:spacing w:line="360" w:lineRule="auto"/>
        <w:ind/>
        <w:rPr>
          <w:rFonts w:ascii="標楷體" w:hAnsi="標楷體" w:cs="標楷體"/>
          <w:sz w:val="40"/>
          <w:szCs w:val="40"/>
          <w:highlight w:val="none"/>
        </w:rPr>
      </w:pP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36"/>
          <w:szCs w:val="36"/>
          <w:rtl w:val="0"/>
        </w:rPr>
        <w:t xml:space="preserve"> </w:t>
      </w:r>
      <w:r>
        <w:rPr>
          <w:rFonts w:ascii="標楷體" w:hAnsi="標楷體" w:eastAsia="標楷體" w:cs="標楷體"/>
          <w:sz w:val="36"/>
          <w:szCs w:val="36"/>
          <w:rtl w:val="0"/>
        </w:rPr>
        <w:t xml:space="preserve"> </w:t>
      </w:r>
      <w:r>
        <w:rPr>
          <w:rFonts w:ascii="標楷體" w:hAnsi="標楷體" w:eastAsia="標楷體" w:cs="標楷體"/>
          <w:sz w:val="36"/>
          <w:szCs w:val="36"/>
          <w:rtl w:val="0"/>
        </w:rPr>
        <w:t xml:space="preserve"> </w:t>
      </w:r>
      <w:r>
        <w:rPr>
          <w:rFonts w:ascii="標楷體" w:hAnsi="標楷體" w:eastAsia="標楷體" w:cs="標楷體"/>
          <w:sz w:val="36"/>
          <w:szCs w:val="36"/>
          <w:rtl w:val="0"/>
        </w:rPr>
        <w:t xml:space="preserve">    </w:t>
      </w:r>
      <w:r>
        <w:rPr>
          <w:rFonts w:ascii="標楷體" w:hAnsi="標楷體" w:eastAsia="標楷體" w:cs="標楷體"/>
          <w:sz w:val="36"/>
          <w:szCs w:val="36"/>
          <w:rtl w:val="0"/>
        </w:rPr>
        <w:t xml:space="preserve">K-means分析與市場動</w:t>
      </w:r>
      <w:r>
        <w:rPr>
          <w:rFonts w:ascii="標楷體" w:hAnsi="標楷體" w:eastAsia="標楷體" w:cs="標楷體"/>
          <w:sz w:val="36"/>
          <w:szCs w:val="36"/>
          <w:rtl w:val="0"/>
        </w:rPr>
        <w:t xml:space="preserve">態</w:t>
      </w:r>
      <w:r>
        <w:rPr>
          <w:rFonts w:ascii="標楷體" w:hAnsi="標楷體" w:eastAsia="標楷體" w:cs="標楷體"/>
          <w:sz w:val="40"/>
          <w:szCs w:val="40"/>
        </w:rPr>
      </w:r>
      <w:r>
        <w:rPr>
          <w:rFonts w:ascii="標楷體" w:hAnsi="標楷體" w:cs="標楷體"/>
          <w:sz w:val="40"/>
          <w:szCs w:val="40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8"/>
          <w:szCs w:val="28"/>
        </w:rPr>
      </w:pPr>
      <w:r>
        <w:rPr>
          <w:rFonts w:ascii="DFKai-SB" w:hAnsi="DFKai-SB" w:eastAsia="DFKai-SB" w:cs="DFKai-SB"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sz w:val="28"/>
          <w:szCs w:val="28"/>
        </w:rPr>
      </w:r>
      <w:r>
        <w:rPr>
          <w:rFonts w:ascii="DFKai-SB" w:hAnsi="DFKai-SB" w:eastAsia="DFKai-SB" w:cs="DFKai-SB"/>
          <w:sz w:val="28"/>
          <w:szCs w:val="28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rtl w:val="0"/>
        </w:rPr>
        <w:t xml:space="preserve">研究背景與動機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　　近年來，台北市作為台灣的經濟和文化中心，其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不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動產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市場的發展一直受到廣泛關注。在人口集中、土地供應有限的情況下，房價長期居高不下，特別是在 COVID-19 疫情後，房地產市場的趨勢發生了新的變化。全球通貨膨脹的壓力、利率政策的調整，以及房地產稅制改革的影響，均為台北市房地產價格的變化帶來挑戰與機遇。此外，數位化時代的來臨，也為消費者行為分析提供了新的數據支持與技術可能性。</w:t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　　因此，本研究欲分析台北市後疫情時代的房市動態，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探索消費者對房屋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條件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需求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和地段的偏好，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利用集群分析（K-means）識別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為房市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業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著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以及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建商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找到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購屋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族群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消費模式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。</w:t>
      </w:r>
      <w:r>
        <w:rPr>
          <w:rFonts w:ascii="DFKai-SB" w:hAnsi="DFKai-SB" w:eastAsia="DFKai-SB" w:cs="DFKai-SB"/>
          <w:b/>
          <w:bCs/>
          <w:sz w:val="24"/>
          <w:szCs w:val="24"/>
        </w:rPr>
      </w:r>
      <w:r>
        <w:rPr>
          <w:rFonts w:ascii="DFKai-SB" w:hAnsi="DFKai-SB" w:eastAsia="DFKai-SB" w:cs="DFKai-SB"/>
          <w:b/>
          <w:bCs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此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外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rtl w:val="0"/>
        </w:rPr>
        <w:t xml:space="preserve">根據</w:t>
      </w:r>
      <w:r>
        <w:rPr>
          <w:rFonts w:ascii="DFKai-SB" w:hAnsi="DFKai-SB" w:eastAsia="DFKai-SB" w:cs="DFKai-SB"/>
          <w:b w:val="0"/>
          <w:bCs w:val="0"/>
          <w:sz w:val="24"/>
          <w:szCs w:val="24"/>
          <w:rtl w:val="0"/>
        </w:rPr>
        <w:t xml:space="preserve">結果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以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Tabuleau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展示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並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內建條件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篩選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功能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建商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可根據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篩選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結果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在有限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資金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下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找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出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可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能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會賣出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地段進行精準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投資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有助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於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提升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成交量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。</w:t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0416" behindDoc="0" locked="0" layoutInCell="1" allowOverlap="1">
                <wp:simplePos x="0" y="0"/>
                <wp:positionH relativeFrom="column">
                  <wp:posOffset>4773000</wp:posOffset>
                </wp:positionH>
                <wp:positionV relativeFrom="paragraph">
                  <wp:posOffset>399461</wp:posOffset>
                </wp:positionV>
                <wp:extent cx="1590675" cy="3653838"/>
                <wp:effectExtent l="3175" t="3175" r="3175" b="3175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590674" cy="3653838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Tabuleau</w:t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1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中位數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總價元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購買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價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格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來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去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猜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測各地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區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大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多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購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買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的預算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2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客戶預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算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以及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空間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需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求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，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找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出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適合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建商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營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造的地段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3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客群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結果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呈現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在地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段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上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，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可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根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據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地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段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篩選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0" o:spid="_x0000_s0" o:spt="202" type="#_x0000_t202" style="position:absolute;z-index:60416;o:allowoverlap:true;o:allowincell:true;mso-position-horizontal-relative:text;margin-left:375.83pt;mso-position-horizontal:absolute;mso-position-vertical-relative:text;margin-top:31.45pt;mso-position-vertical:absolute;width:125.25pt;height:287.70pt;mso-wrap-distance-left:9.07pt;mso-wrap-distance-top:0.00pt;mso-wrap-distance-right:9.07pt;mso-wrap-distance-bottom:0.00pt;rotation:0;v-text-anchor:top;visibility:visible;" fillcolor="#4BACC6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28"/>
                          <w:szCs w:val="28"/>
                        </w:rPr>
                        <w:t xml:space="preserve">Tabuleau</w:t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28"/>
                          <w:szCs w:val="28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28"/>
                          <w:szCs w:val="28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1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中位數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總價元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購買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價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格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來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去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猜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測各地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區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大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多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購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買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的預算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sz w:val="24"/>
                          <w:szCs w:val="24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sz w:val="24"/>
                          <w:szCs w:val="24"/>
                        </w:rPr>
                      </w:r>
                      <w:r>
                        <w:rPr>
                          <w:rFonts w:ascii="標楷體" w:hAnsi="標楷體" w:cs="標楷體"/>
                          <w:sz w:val="24"/>
                          <w:szCs w:val="24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2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客戶預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算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以及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空間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需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求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，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找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出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適合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建商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營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造的地段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3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客群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結果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呈現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在地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段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上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，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可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根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據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地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段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篩選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FKai-SB" w:hAnsi="DFKai-SB" w:eastAsia="DFKai-SB" w:cs="DFKai-SB"/>
          <w:b/>
          <w:bCs/>
          <w:sz w:val="36"/>
          <w:szCs w:val="36"/>
          <w:highlight w:val="none"/>
        </w:rPr>
        <w:t xml:space="preserve">研究</w:t>
      </w:r>
      <w:r>
        <w:rPr>
          <w:rFonts w:ascii="DFKai-SB" w:hAnsi="DFKai-SB" w:eastAsia="DFKai-SB" w:cs="DFKai-SB"/>
          <w:b/>
          <w:bCs/>
          <w:sz w:val="36"/>
          <w:szCs w:val="36"/>
          <w:highlight w:val="none"/>
        </w:rPr>
        <w:t xml:space="preserve">流程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0416" behindDoc="0" locked="0" layoutInCell="1" allowOverlap="1">
                <wp:simplePos x="0" y="0"/>
                <wp:positionH relativeFrom="column">
                  <wp:posOffset>-132375</wp:posOffset>
                </wp:positionH>
                <wp:positionV relativeFrom="paragraph">
                  <wp:posOffset>464942</wp:posOffset>
                </wp:positionV>
                <wp:extent cx="1504950" cy="3588358"/>
                <wp:effectExtent l="3175" t="3175" r="3175" b="3175"/>
                <wp:wrapNone/>
                <wp:docPr id="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1504949" cy="3588357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資料</w:t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處理</w:t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1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資料轉換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資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料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條件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提取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2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異常值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刪除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3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資料合併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4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資料標準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化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" o:spid="_x0000_s1" o:spt="202" type="#_x0000_t202" style="position:absolute;z-index:60416;o:allowoverlap:true;o:allowincell:true;mso-position-horizontal-relative:text;margin-left:-10.42pt;mso-position-horizontal:absolute;mso-position-vertical-relative:text;margin-top:36.61pt;mso-position-vertical:absolute;width:118.50pt;height:282.55pt;mso-wrap-distance-left:9.07pt;mso-wrap-distance-top:0.00pt;mso-wrap-distance-right:9.07pt;mso-wrap-distance-bottom:0.00pt;v-text-anchor:top;visibility:visible;" fillcolor="#4BACC6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</w:rPr>
                        <w:t xml:space="preserve">資料</w:t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</w:rPr>
                        <w:t xml:space="preserve">處理</w:t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1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資料轉換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資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料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條件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提取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2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異常值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刪除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3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資料合併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4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資料標準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化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0416" behindDoc="0" locked="0" layoutInCell="1" allowOverlap="1">
                <wp:simplePos x="0" y="0"/>
                <wp:positionH relativeFrom="column">
                  <wp:posOffset>2296500</wp:posOffset>
                </wp:positionH>
                <wp:positionV relativeFrom="paragraph">
                  <wp:posOffset>399461</wp:posOffset>
                </wp:positionV>
                <wp:extent cx="1638300" cy="3653838"/>
                <wp:effectExtent l="3175" t="3175" r="3175" b="3175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638299" cy="3653838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  <w:t xml:space="preserve">K-means</w:t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1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使用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群內變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異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量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Silhouette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score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找出最佳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分群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數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2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使用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堆疊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式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長條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圖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散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佈圖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，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瞭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解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客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群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3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歸納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總結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客群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60416;o:allowoverlap:true;o:allowincell:true;mso-position-horizontal-relative:text;margin-left:180.83pt;mso-position-horizontal:absolute;mso-position-vertical-relative:text;margin-top:31.45pt;mso-position-vertical:absolute;width:129.00pt;height:287.70pt;mso-wrap-distance-left:9.07pt;mso-wrap-distance-top:0.00pt;mso-wrap-distance-right:9.07pt;mso-wrap-distance-bottom:0.00pt;rotation:0;v-text-anchor:top;visibility:visible;" fillcolor="#4BACC6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  <w:t xml:space="preserve">K-means</w:t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1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使用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群內變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異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量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Silhouette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score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找出最佳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分群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數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2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使用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堆疊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式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長條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圖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散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佈圖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，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瞭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解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客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群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3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歸納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總結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客群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rFonts w:ascii="DFKai-SB" w:hAnsi="DFKai-SB" w:eastAsia="DFKai-SB" w:cs="DFKai-SB"/>
          <w:b/>
          <w:bCs/>
          <w:sz w:val="36"/>
          <w:szCs w:val="36"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2464" behindDoc="0" locked="0" layoutInCell="1" allowOverlap="1">
                <wp:simplePos x="0" y="0"/>
                <wp:positionH relativeFrom="column">
                  <wp:posOffset>3991950</wp:posOffset>
                </wp:positionH>
                <wp:positionV relativeFrom="paragraph">
                  <wp:posOffset>376719</wp:posOffset>
                </wp:positionV>
                <wp:extent cx="714375" cy="462944"/>
                <wp:effectExtent l="4762" t="4762" r="4762" b="4762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4373" cy="462942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5"/>
                        </a:solidFill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3" type="#_x0000_t13" style="position:absolute;z-index:62464;o:allowoverlap:true;o:allowincell:true;mso-position-horizontal-relative:text;margin-left:314.33pt;mso-position-horizontal:absolute;mso-position-vertical-relative:text;margin-top:29.66pt;mso-position-vertical:absolute;width:56.25pt;height:36.45pt;mso-wrap-distance-left:9.07pt;mso-wrap-distance-top:0.00pt;mso-wrap-distance-right:9.07pt;mso-wrap-distance-bottom:0.00pt;rotation:0;v-text-anchor:middle;visibility:visible;" fillcolor="#4BACC6" strokecolor="#4BACC6" strokeweight="0.75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2464" behindDoc="0" locked="0" layoutInCell="1" allowOverlap="1">
                <wp:simplePos x="0" y="0"/>
                <wp:positionH relativeFrom="column">
                  <wp:posOffset>1544025</wp:posOffset>
                </wp:positionH>
                <wp:positionV relativeFrom="paragraph">
                  <wp:posOffset>363029</wp:posOffset>
                </wp:positionV>
                <wp:extent cx="666750" cy="462944"/>
                <wp:effectExtent l="4762" t="4762" r="4762" b="4762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666748" cy="462942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5"/>
                        </a:solidFill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o:spt="13" type="#_x0000_t13" style="position:absolute;z-index:62464;o:allowoverlap:true;o:allowincell:true;mso-position-horizontal-relative:text;margin-left:121.58pt;mso-position-horizontal:absolute;mso-position-vertical-relative:text;margin-top:28.58pt;mso-position-vertical:absolute;width:52.50pt;height:36.45pt;mso-wrap-distance-left:9.07pt;mso-wrap-distance-top:0.00pt;mso-wrap-distance-right:9.07pt;mso-wrap-distance-bottom:0.00pt;visibility:visible;" fillcolor="#4BACC6" strokecolor="#4BACC6" strokeweight="0.75pt">
                <v:stroke dashstyle="solid"/>
              </v:shape>
            </w:pict>
          </mc:Fallback>
        </mc:AlternateContent>
      </w:r>
      <w:r>
        <w:rPr>
          <w:highlight w:val="none"/>
        </w:rPr>
        <w:t xml:space="preserve">\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資料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呈現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b/>
          <w:bCs w:val="0"/>
          <w:i w:val="0"/>
          <w:smallCaps w:val="0"/>
          <w:strike w:val="0"/>
          <w:color w:val="000000"/>
          <w:sz w:val="28"/>
          <w:szCs w:val="28"/>
          <w:highlight w:val="none"/>
          <w:u w:val="none"/>
          <w:shd w:val="clear" w:color="auto" w:fill="auto"/>
          <w:vertAlign w:val="baseline"/>
        </w:rPr>
      </w:pPr>
      <w:r>
        <w:rPr>
          <w:rFonts w:ascii="DFKai-SB" w:hAnsi="DFKai-SB" w:eastAsia="DFKai-SB" w:cs="DFKai-SB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color="auto" w:fill="auto"/>
          <w:vertAlign w:val="baseline"/>
          <w:rtl w:val="0"/>
        </w:rPr>
        <w:t xml:space="preserve">資料來源</w:t>
      </w:r>
      <w:r>
        <w:rPr>
          <w:rFonts w:ascii="DFKai-SB" w:hAnsi="DFKai-SB" w:eastAsia="DFKai-SB" w:cs="DFKai-SB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color="auto" w:fill="auto"/>
          <w:vertAlign w:val="baseline"/>
          <w:rtl w:val="0"/>
        </w:rPr>
        <w:t xml:space="preserve"> </w:t>
      </w:r>
      <w:r>
        <w:rPr>
          <w:rFonts w:ascii="DFKai-SB" w:hAnsi="DFKai-SB" w:eastAsia="DFKai-SB" w:cs="DFKai-SB"/>
          <w:b/>
          <w:bCs w:val="0"/>
          <w:i w:val="0"/>
          <w:smallCaps w:val="0"/>
          <w:strike w:val="0"/>
          <w:color w:val="000000"/>
          <w:sz w:val="28"/>
          <w:szCs w:val="28"/>
          <w:highlight w:val="none"/>
          <w:u w:val="none"/>
          <w:shd w:val="clear" w:color="auto" w:fill="auto"/>
          <w:vertAlign w:val="baseline"/>
        </w:rPr>
      </w:r>
      <w:r>
        <w:rPr>
          <w:rFonts w:ascii="DFKai-SB" w:hAnsi="DFKai-SB" w:eastAsia="DFKai-SB" w:cs="DFKai-SB"/>
          <w:b/>
          <w:bCs w:val="0"/>
          <w:i w:val="0"/>
          <w:smallCaps w:val="0"/>
          <w:strike w:val="0"/>
          <w:color w:val="000000"/>
          <w:sz w:val="28"/>
          <w:szCs w:val="28"/>
          <w:highlight w:val="none"/>
          <w:u w:val="none"/>
          <w:shd w:val="clear" w:color="auto" w:fill="auto"/>
          <w:vertAlign w:val="baseli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>
        <w:rPr>
          <w:rFonts w:ascii="DFKai-SB" w:hAnsi="DFKai-SB" w:eastAsia="DFKai-SB" w:cs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>
        <w:rPr>
          <w:rFonts w:ascii="DFKai-SB" w:hAnsi="DFKai-SB" w:eastAsia="DFKai-SB" w:cs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>
        <w:rPr>
          <w:rFonts w:ascii="DFKai-SB" w:hAnsi="DFKai-SB" w:eastAsia="DFKai-SB" w:cs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本次研究的資料來自內政部不動產交易實價查詢服務網，取其中台北市在民國112年至113年的不動產買賣交易資料。</w:t>
      </w:r>
      <w:r>
        <w:rPr>
          <w:rFonts w:ascii="DFKai-SB" w:hAnsi="DFKai-SB" w:eastAsia="DFKai-SB" w:cs="DFKai-SB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r>
      <w:r>
        <w:rPr>
          <w:rFonts w:ascii="DFKai-SB" w:hAnsi="DFKai-SB" w:eastAsia="DFKai-SB" w:cs="DFKai-SB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360"/>
        <w:jc w:val="left"/>
        <w:rPr>
          <w:rFonts w:ascii="DFKai-SB" w:hAnsi="DFKai-SB" w:eastAsia="DFKai-SB" w:cs="DFKai-SB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>
        <w:rPr>
          <w:rFonts w:ascii="DFKai-SB" w:hAnsi="DFKai-SB" w:eastAsia="DFKai-SB" w:cs="DFKai-SB"/>
          <w:b w:val="0"/>
          <w:i w:val="0"/>
          <w:smallCaps w:val="0"/>
          <w:strike w:val="0"/>
          <w:color w:val="000000"/>
          <w:sz w:val="24"/>
          <w:szCs w:val="24"/>
          <w:highlight w:val="none"/>
          <w:u w:val="none"/>
          <w:shd w:val="clear" w:color="auto" w:fill="auto"/>
          <w:vertAlign w:val="baseline"/>
          <w:rtl w:val="0"/>
        </w:rPr>
      </w:r>
      <w:r>
        <w:rPr>
          <w:rFonts w:ascii="DFKai-SB" w:hAnsi="DFKai-SB" w:eastAsia="DFKai-SB" w:cs="DFKai-SB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r>
      <w:r>
        <w:rPr>
          <w:rFonts w:ascii="DFKai-SB" w:hAnsi="DFKai-SB" w:eastAsia="DFKai-SB" w:cs="DFKai-SB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color="auto" w:fill="auto"/>
          <w:vertAlign w:val="baseline"/>
        </w:rPr>
      </w:pPr>
      <w:r>
        <w:rPr>
          <w:rFonts w:ascii="DFKai-SB" w:hAnsi="DFKai-SB" w:eastAsia="DFKai-SB" w:cs="DFKai-SB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color="auto" w:fill="auto"/>
          <w:vertAlign w:val="baseline"/>
          <w:rtl w:val="0"/>
        </w:rPr>
        <w:t xml:space="preserve">資料結構</w:t>
      </w:r>
      <w:r>
        <w:rPr>
          <w:rFonts w:ascii="DFKai-SB" w:hAnsi="DFKai-SB" w:eastAsia="DFKai-SB" w:cs="DFKai-SB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color="auto" w:fill="auto"/>
          <w:vertAlign w:val="baseline"/>
        </w:rPr>
      </w:r>
      <w:r>
        <w:rPr>
          <w:rFonts w:ascii="DFKai-SB" w:hAnsi="DFKai-SB" w:eastAsia="DFKai-SB" w:cs="DFKai-SB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color="auto" w:fill="auto"/>
          <w:vertAlign w:val="baseli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房屋特徵：建物型態、主要建材、建物現況格局-房、建物現況格局-廳、建物現況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格局-衛、建物現況格局-隔間、主建物面積、附屬建物面積、陽台面積、電梯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。</w:t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108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numPr>
          <w:ilvl w:val="0"/>
          <w:numId w:val="44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hanging="360" w:left="108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color w:val="000000"/>
          <w:sz w:val="24"/>
          <w:szCs w:val="24"/>
          <w:rtl w:val="0"/>
        </w:rPr>
        <w:t xml:space="preserve">交易資訊：交易標的、移轉層次、交易筆棟數、總樓層數、主要用途、建築完成年月、交易年月日、土地移轉總面積平方公尺、建物移轉總面積平方公尺、總價元、單價元平方公尺、車位類別、車位移轉總面積平方公尺、車位總價元、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有無管理組織、</w:t>
      </w:r>
      <w:r>
        <w:rPr>
          <w:rFonts w:ascii="DFKai-SB" w:hAnsi="DFKai-SB" w:eastAsia="DFKai-SB" w:cs="DFKai-SB"/>
          <w:color w:val="000000"/>
          <w:sz w:val="24"/>
          <w:szCs w:val="24"/>
          <w:rtl w:val="0"/>
        </w:rPr>
        <w:t xml:space="preserve">備註、編號、移轉編號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。</w:t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108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numPr>
          <w:ilvl w:val="0"/>
          <w:numId w:val="44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hanging="360" w:left="108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color w:val="000000"/>
          <w:sz w:val="24"/>
          <w:szCs w:val="24"/>
          <w:rtl w:val="0"/>
        </w:rPr>
        <w:t xml:space="preserve">區域特徵：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鄉鎮市區、土地位置建物門牌、都市土地使用分區、非都市土地使用分區、非都市土地使用編定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。</w:t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資料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敘述</w:t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tbl>
      <w:tblPr>
        <w:tblStyle w:val="988"/>
        <w:tblpPr w:horzAnchor="text" w:tblpX="15" w:vertAnchor="text" w:tblpY="1" w:leftFromText="180" w:topFromText="180" w:rightFromText="180" w:bottomFromText="180"/>
        <w:tblW w:w="90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030"/>
        <w:gridCol w:w="3165"/>
        <w:gridCol w:w="2880"/>
      </w:tblGrid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變數名稱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總樣本數=37220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遺失值佔比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都市土地使用分區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1090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2.9%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非都市土地使用分區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37219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99.9%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非都市土地使用編定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數值變數；遺失值=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37220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100%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移轉層次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4959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13.3%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總樓層數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4990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13.4%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主要用途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5892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15.8%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主要建材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4960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13.3%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建築完成年月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數值變數；遺失值=6101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16.4%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單價元平方公尺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數值變數；遺失值=1770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4.8%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車位類別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27107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72.8%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備註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11352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30.5%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5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移轉編號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數值變數；遺失值=22959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61.7%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資料處理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tabs>
          <w:tab w:val="left" w:leader="none" w:pos="2477"/>
        </w:tabs>
        <w:spacing w:line="360" w:lineRule="auto"/>
        <w:ind/>
        <w:rPr>
          <w:rFonts w:ascii="標楷體" w:hAnsi="標楷體" w:cs="標楷體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 </w:t>
      </w:r>
      <w:r>
        <w:rPr>
          <w:rFonts w:hint="default" w:ascii="Cambria Math" w:hAnsi="Cambria Math" w:eastAsia="Cambria Math" w:cs="Cambria Math"/>
          <w:b/>
          <w:sz w:val="32"/>
          <w:szCs w:val="32"/>
          <w:highlight w:val="none"/>
          <w:rtl w:val="0"/>
        </w:rPr>
        <w:t xml:space="preserve"> </w:t>
      </w:r>
      <w:r>
        <w:rPr>
          <w:rFonts w:hint="default" w:ascii="Cambria Math" w:hAnsi="Cambria Math" w:eastAsia="Cambria Math" w:cs="Cambria Math"/>
          <w:b/>
          <w:sz w:val="32"/>
          <w:szCs w:val="32"/>
          <w:highlight w:val="none"/>
          <w:rtl w:val="0"/>
        </w:rPr>
        <w:t xml:space="preserve"> </w:t>
      </w:r>
      <w:r>
        <w:rPr>
          <w:rFonts w:hint="default" w:ascii="Cambria Math" w:hAnsi="Cambria Math" w:eastAsia="Cambria Math" w:cs="Cambria Math"/>
          <w:b/>
          <w:sz w:val="32"/>
          <w:szCs w:val="32"/>
          <w:highlight w:val="none"/>
          <w:rtl w:val="0"/>
        </w:rPr>
        <w:t xml:space="preserve"> </w:t>
      </w:r>
      <w:r>
        <w:rPr>
          <w:rFonts w:hint="default" w:ascii="標楷體" w:hAnsi="標楷體" w:eastAsia="標楷體" w:cs="標楷體"/>
          <w:b/>
          <w:sz w:val="24"/>
          <w:szCs w:val="24"/>
          <w:highlight w:val="white"/>
          <w:rtl w:val="0"/>
        </w:rPr>
        <w:t xml:space="preserve">●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b/>
          <w:sz w:val="24"/>
          <w:szCs w:val="24"/>
          <w:highlight w:val="white"/>
          <w:rtl w:val="0"/>
        </w:rPr>
        <w:t xml:space="preserve">重複值檢查</w:t>
      </w:r>
      <w:r>
        <w:rPr>
          <w:rFonts w:ascii="標楷體" w:hAnsi="標楷體" w:eastAsia="標楷體" w:cs="標楷體"/>
          <w:b/>
          <w:sz w:val="24"/>
          <w:szCs w:val="24"/>
          <w:highlight w:val="none"/>
          <w:rtl w:val="0"/>
        </w:rPr>
        <w:t xml:space="preserve"> </w:t>
      </w:r>
      <w:r>
        <w:rPr>
          <w:rFonts w:ascii="標楷體" w:hAnsi="標楷體" w:eastAsia="標楷體" w:cs="標楷體"/>
          <w:b/>
          <w:sz w:val="24"/>
          <w:szCs w:val="24"/>
          <w:highlight w:val="none"/>
          <w:rtl w:val="0"/>
        </w:rPr>
        <w:t xml:space="preserve">:</w:t>
      </w:r>
      <w:r>
        <w:rPr>
          <w:rFonts w:ascii="標楷體" w:hAnsi="標楷體" w:eastAsia="標楷體" w:cs="標楷體"/>
          <w:b/>
          <w:sz w:val="24"/>
          <w:szCs w:val="24"/>
          <w:highlight w:val="none"/>
          <w:rtl w:val="0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white"/>
          <w:rtl w:val="0"/>
        </w:rPr>
        <w:t xml:space="preserve">確認無重複記錄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r>
      <w:r>
        <w:rPr>
          <w:rFonts w:ascii="標楷體" w:hAnsi="標楷體" w:cs="標楷體"/>
          <w:b/>
          <w:bCs/>
          <w:sz w:val="24"/>
          <w:szCs w:val="24"/>
          <w:highlight w:val="none"/>
        </w:rPr>
      </w:r>
    </w:p>
    <w:p>
      <w:pPr>
        <w:numPr>
          <w:ilvl w:val="0"/>
          <w:numId w:val="45"/>
        </w:numPr>
        <w:pBdr/>
        <w:spacing w:after="0" w:afterAutospacing="0" w:before="240" w:line="360" w:lineRule="auto"/>
        <w:ind w:hanging="360" w:left="720"/>
        <w:rPr>
          <w:rFonts w:ascii="標楷體" w:hAnsi="標楷體" w:cs="標楷體"/>
          <w:b/>
          <w:bCs/>
          <w:sz w:val="24"/>
          <w:szCs w:val="24"/>
        </w:rPr>
      </w:pPr>
      <w:r>
        <w:rPr>
          <w:rFonts w:ascii="標楷體" w:hAnsi="標楷體" w:eastAsia="標楷體" w:cs="標楷體"/>
          <w:b/>
          <w:sz w:val="24"/>
          <w:szCs w:val="24"/>
          <w:rtl w:val="0"/>
        </w:rPr>
        <w:t xml:space="preserve">資料</w:t>
      </w:r>
      <w:r>
        <w:rPr>
          <w:rFonts w:ascii="標楷體" w:hAnsi="標楷體" w:eastAsia="標楷體" w:cs="標楷體"/>
          <w:b/>
          <w:sz w:val="24"/>
          <w:szCs w:val="24"/>
          <w:rtl w:val="0"/>
        </w:rPr>
        <w:t xml:space="preserve">合併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：將112年與113年的資料合併</w:t>
      </w:r>
      <w:r>
        <w:rPr>
          <w:rFonts w:ascii="標楷體" w:hAnsi="標楷體" w:cs="標楷體"/>
          <w:b/>
          <w:bCs/>
          <w:sz w:val="24"/>
          <w:szCs w:val="24"/>
        </w:rPr>
      </w:r>
      <w:r>
        <w:rPr>
          <w:rFonts w:ascii="標楷體" w:hAnsi="標楷體" w:cs="標楷體"/>
          <w:b/>
          <w:bCs/>
          <w:sz w:val="24"/>
          <w:szCs w:val="24"/>
        </w:rPr>
      </w:r>
    </w:p>
    <w:p>
      <w:pPr>
        <w:numPr>
          <w:ilvl w:val="0"/>
          <w:numId w:val="45"/>
        </w:numPr>
        <w:pBdr/>
        <w:spacing w:after="0" w:afterAutospacing="0" w:before="0" w:beforeAutospacing="0" w:line="360" w:lineRule="auto"/>
        <w:ind w:hanging="360" w:left="720"/>
        <w:rPr>
          <w:rFonts w:ascii="標楷體" w:hAnsi="標楷體" w:cs="標楷體"/>
          <w:sz w:val="24"/>
          <w:szCs w:val="24"/>
        </w:rPr>
      </w:pPr>
      <w:r>
        <w:rPr>
          <w:rFonts w:ascii="標楷體" w:hAnsi="標楷體" w:eastAsia="標楷體" w:cs="標楷體"/>
          <w:b/>
          <w:sz w:val="24"/>
          <w:szCs w:val="24"/>
          <w:rtl w:val="0"/>
        </w:rPr>
        <w:t xml:space="preserve">刪除冗餘欄位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：如移轉編號、非都市土地欄位</w:t>
      </w:r>
      <w:r>
        <w:rPr>
          <w:rFonts w:ascii="標楷體" w:hAnsi="標楷體" w:eastAsia="標楷體" w:cs="標楷體"/>
          <w:sz w:val="24"/>
          <w:szCs w:val="24"/>
        </w:rPr>
      </w:r>
      <w:r>
        <w:rPr>
          <w:rFonts w:ascii="標楷體" w:hAnsi="標楷體" w:cs="標楷體"/>
          <w:sz w:val="24"/>
          <w:szCs w:val="24"/>
        </w:rPr>
      </w:r>
    </w:p>
    <w:p>
      <w:pPr>
        <w:numPr>
          <w:ilvl w:val="0"/>
          <w:numId w:val="45"/>
        </w:numPr>
        <w:pBdr/>
        <w:spacing w:after="0" w:afterAutospacing="0" w:before="0" w:beforeAutospacing="0" w:line="360" w:lineRule="auto"/>
        <w:ind w:hanging="360" w:left="720"/>
        <w:rPr>
          <w:rFonts w:ascii="標楷體" w:hAnsi="標楷體" w:eastAsia="標楷體" w:cs="標楷體"/>
          <w:sz w:val="24"/>
          <w:szCs w:val="24"/>
        </w:rPr>
      </w:pPr>
      <w:r>
        <w:rPr>
          <w:rFonts w:ascii="標楷體" w:hAnsi="標楷體" w:eastAsia="標楷體" w:cs="標楷體"/>
          <w:b/>
          <w:sz w:val="24"/>
          <w:szCs w:val="24"/>
          <w:rtl w:val="0"/>
        </w:rPr>
        <w:t xml:space="preserve">篩選與分類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：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刪除特殊</w:t>
      </w:r>
      <w:r>
        <w:rPr>
          <w:rFonts w:ascii="標楷體" w:hAnsi="標楷體" w:eastAsia="標楷體" w:cs="標楷體"/>
          <w:sz w:val="24"/>
          <w:szCs w:val="24"/>
        </w:rPr>
        <w:t xml:space="preserve">交易</w:t>
      </w:r>
      <w:r>
        <w:rPr>
          <w:rFonts w:ascii="標楷體" w:hAnsi="標楷體" w:eastAsia="標楷體" w:cs="標楷體"/>
          <w:sz w:val="24"/>
          <w:szCs w:val="24"/>
        </w:rPr>
        <w:t xml:space="preserve">關係</w:t>
      </w:r>
      <w:r>
        <w:rPr>
          <w:rFonts w:ascii="標楷體" w:hAnsi="標楷體" w:eastAsia="標楷體" w:cs="標楷體"/>
          <w:sz w:val="24"/>
          <w:szCs w:val="24"/>
        </w:rPr>
        <w:t xml:space="preserve">、</w:t>
      </w:r>
      <w:r>
        <w:rPr>
          <w:rFonts w:ascii="標楷體" w:hAnsi="標楷體" w:eastAsia="標楷體" w:cs="標楷體"/>
          <w:sz w:val="24"/>
          <w:szCs w:val="24"/>
        </w:rPr>
        <w:t xml:space="preserve">土地</w:t>
      </w:r>
      <w:r>
        <w:rPr>
          <w:rFonts w:ascii="標楷體" w:hAnsi="標楷體" w:eastAsia="標楷體" w:cs="標楷體"/>
          <w:sz w:val="24"/>
          <w:szCs w:val="24"/>
        </w:rPr>
        <w:t xml:space="preserve">標售</w:t>
      </w:r>
      <w:r>
        <w:rPr>
          <w:rFonts w:ascii="標楷體" w:hAnsi="標楷體" w:eastAsia="標楷體" w:cs="標楷體"/>
          <w:sz w:val="24"/>
          <w:szCs w:val="24"/>
        </w:rPr>
        <w:t xml:space="preserve">、</w:t>
      </w:r>
      <w:r>
        <w:rPr>
          <w:rFonts w:ascii="標楷體" w:hAnsi="標楷體" w:eastAsia="標楷體" w:cs="標楷體"/>
          <w:sz w:val="24"/>
          <w:szCs w:val="24"/>
        </w:rPr>
        <w:t xml:space="preserve">政府</w:t>
      </w:r>
      <w:r>
        <w:rPr>
          <w:rFonts w:ascii="標楷體" w:hAnsi="標楷體" w:eastAsia="標楷體" w:cs="標楷體"/>
          <w:sz w:val="24"/>
          <w:szCs w:val="24"/>
        </w:rPr>
        <w:t xml:space="preserve">轉讓</w:t>
      </w:r>
      <w:r>
        <w:rPr>
          <w:rFonts w:ascii="標楷體" w:hAnsi="標楷體" w:cs="標楷體"/>
          <w:sz w:val="24"/>
          <w:szCs w:val="24"/>
        </w:rPr>
      </w:r>
      <w:r>
        <w:rPr>
          <w:rFonts w:ascii="標楷體" w:hAnsi="標楷體" w:eastAsia="標楷體" w:cs="標楷體"/>
          <w:sz w:val="24"/>
          <w:szCs w:val="24"/>
        </w:rPr>
      </w:r>
    </w:p>
    <w:p>
      <w:pPr>
        <w:pBdr/>
        <w:spacing w:after="0" w:afterAutospacing="0" w:before="0" w:beforeAutospacing="0" w:line="360" w:lineRule="auto"/>
        <w:ind w:firstLine="0" w:left="720"/>
        <w:rPr>
          <w:rFonts w:ascii="標楷體" w:hAnsi="標楷體" w:cs="標楷體"/>
          <w:sz w:val="24"/>
          <w:szCs w:val="24"/>
        </w:rPr>
      </w:pP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、</w:t>
      </w:r>
      <w:r>
        <w:rPr>
          <w:rFonts w:ascii="標楷體" w:hAnsi="標楷體" w:eastAsia="標楷體" w:cs="標楷體"/>
          <w:sz w:val="24"/>
          <w:szCs w:val="24"/>
        </w:rPr>
        <w:t xml:space="preserve">去除</w:t>
      </w:r>
      <w:r>
        <w:rPr>
          <w:rFonts w:ascii="標楷體" w:hAnsi="標楷體" w:eastAsia="標楷體" w:cs="標楷體"/>
          <w:sz w:val="24"/>
          <w:szCs w:val="24"/>
        </w:rPr>
        <w:t xml:space="preserve">非</w:t>
      </w:r>
      <w:r>
        <w:rPr>
          <w:rFonts w:ascii="標楷體" w:hAnsi="標楷體" w:eastAsia="標楷體" w:cs="標楷體"/>
          <w:sz w:val="24"/>
          <w:szCs w:val="24"/>
        </w:rPr>
        <w:t xml:space="preserve">建物</w:t>
      </w:r>
      <w:r>
        <w:rPr>
          <w:rFonts w:ascii="標楷體" w:hAnsi="標楷體" w:eastAsia="標楷體" w:cs="標楷體"/>
          <w:sz w:val="24"/>
          <w:szCs w:val="24"/>
        </w:rPr>
        <w:t xml:space="preserve">的購買</w:t>
      </w:r>
      <w:r>
        <w:rPr>
          <w:rFonts w:ascii="標楷體" w:hAnsi="標楷體" w:eastAsia="標楷體" w:cs="標楷體"/>
          <w:sz w:val="24"/>
          <w:szCs w:val="24"/>
        </w:rPr>
        <w:t xml:space="preserve">樓層</w:t>
      </w:r>
      <w:r>
        <w:rPr>
          <w:rFonts w:ascii="標楷體" w:hAnsi="標楷體" w:eastAsia="標楷體" w:cs="標楷體"/>
          <w:sz w:val="24"/>
          <w:szCs w:val="24"/>
        </w:rPr>
        <w:t xml:space="preserve">(</w:t>
      </w:r>
      <w:r>
        <w:rPr>
          <w:rFonts w:ascii="標楷體" w:hAnsi="標楷體" w:eastAsia="標楷體" w:cs="標楷體"/>
          <w:sz w:val="24"/>
          <w:szCs w:val="24"/>
        </w:rPr>
        <w:t xml:space="preserve">公設</w:t>
      </w:r>
      <w:r>
        <w:rPr>
          <w:rFonts w:ascii="標楷體" w:hAnsi="標楷體" w:eastAsia="標楷體" w:cs="標楷體"/>
          <w:sz w:val="24"/>
          <w:szCs w:val="24"/>
        </w:rPr>
        <w:t xml:space="preserve">避難室</w:t>
      </w:r>
      <w:r>
        <w:rPr>
          <w:rFonts w:ascii="標楷體" w:hAnsi="標楷體" w:eastAsia="標楷體" w:cs="標楷體"/>
          <w:sz w:val="24"/>
          <w:szCs w:val="24"/>
        </w:rPr>
        <w:t xml:space="preserve">、</w:t>
      </w:r>
      <w:r>
        <w:rPr>
          <w:rFonts w:ascii="標楷體" w:hAnsi="標楷體" w:eastAsia="標楷體" w:cs="標楷體"/>
          <w:sz w:val="24"/>
          <w:szCs w:val="24"/>
        </w:rPr>
        <w:t xml:space="preserve">)</w:t>
      </w:r>
      <w:r>
        <w:rPr>
          <w:rFonts w:ascii="標楷體" w:hAnsi="標楷體" w:eastAsia="標楷體" w:cs="標楷體"/>
          <w:sz w:val="24"/>
          <w:szCs w:val="24"/>
        </w:rPr>
        <w:t xml:space="preserve">、</w:t>
      </w:r>
      <w:r>
        <w:rPr>
          <w:rFonts w:ascii="標楷體" w:hAnsi="標楷體" w:eastAsia="標楷體" w:cs="標楷體"/>
          <w:sz w:val="24"/>
          <w:szCs w:val="24"/>
        </w:rPr>
        <w:t xml:space="preserve">純</w:t>
      </w:r>
      <w:r>
        <w:rPr>
          <w:rFonts w:ascii="標楷體" w:hAnsi="標楷體" w:eastAsia="標楷體" w:cs="標楷體"/>
          <w:sz w:val="24"/>
          <w:szCs w:val="24"/>
        </w:rPr>
        <w:t xml:space="preserve">土地</w:t>
      </w:r>
      <w:r>
        <w:rPr>
          <w:rFonts w:ascii="標楷體" w:hAnsi="標楷體" w:eastAsia="標楷體" w:cs="標楷體"/>
          <w:sz w:val="24"/>
          <w:szCs w:val="24"/>
        </w:rPr>
        <w:t xml:space="preserve">的使用</w:t>
      </w:r>
      <w:r>
        <w:rPr>
          <w:rFonts w:ascii="標楷體" w:hAnsi="標楷體" w:eastAsia="標楷體" w:cs="標楷體"/>
          <w:sz w:val="24"/>
          <w:szCs w:val="24"/>
        </w:rPr>
      </w:r>
      <w:r>
        <w:rPr>
          <w:rFonts w:ascii="標楷體" w:hAnsi="標楷體" w:cs="標楷體"/>
          <w:sz w:val="24"/>
          <w:szCs w:val="24"/>
        </w:rPr>
      </w:r>
    </w:p>
    <w:p>
      <w:pPr>
        <w:numPr>
          <w:ilvl w:val="0"/>
          <w:numId w:val="45"/>
        </w:numPr>
        <w:pBdr/>
        <w:spacing w:after="240" w:before="0" w:beforeAutospacing="0" w:line="360" w:lineRule="auto"/>
        <w:ind w:hanging="360" w:left="720"/>
        <w:rPr>
          <w:rFonts w:ascii="標楷體" w:hAnsi="標楷體" w:cs="標楷體"/>
          <w:sz w:val="24"/>
          <w:szCs w:val="24"/>
        </w:rPr>
      </w:pPr>
      <w:r>
        <w:rPr>
          <w:rFonts w:ascii="標楷體" w:hAnsi="標楷體" w:eastAsia="標楷體" w:cs="標楷體"/>
          <w:b/>
          <w:sz w:val="24"/>
          <w:szCs w:val="24"/>
          <w:rtl w:val="0"/>
        </w:rPr>
        <w:t xml:space="preserve">刪除不合理數據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：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使用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 wilcoxon rank test 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刪除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 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離群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值</w:t>
      </w:r>
      <w:r>
        <w:rPr>
          <w:rFonts w:ascii="標楷體" w:hAnsi="標楷體" w:eastAsia="標楷體" w:cs="標楷體"/>
          <w:sz w:val="24"/>
          <w:szCs w:val="24"/>
        </w:rPr>
      </w:r>
      <w:r>
        <w:rPr>
          <w:rFonts w:ascii="標楷體" w:hAnsi="標楷體" w:cs="標楷體"/>
          <w:sz w:val="24"/>
          <w:szCs w:val="24"/>
        </w:rPr>
      </w:r>
    </w:p>
    <w:p>
      <w:pPr>
        <w:numPr>
          <w:ilvl w:val="0"/>
          <w:numId w:val="45"/>
        </w:numPr>
        <w:pBdr/>
        <w:spacing w:after="240" w:before="0" w:beforeAutospacing="0" w:line="360" w:lineRule="auto"/>
        <w:ind w:hanging="360" w:left="720"/>
        <w:rPr>
          <w:rFonts w:ascii="標楷體" w:hAnsi="標楷體" w:cs="標楷體"/>
          <w:sz w:val="24"/>
          <w:szCs w:val="24"/>
        </w:rPr>
      </w:pPr>
      <w:r>
        <w:rPr>
          <w:rFonts w:ascii="標楷體" w:hAnsi="標楷體" w:eastAsia="標楷體" w:cs="標楷體"/>
          <w:sz w:val="24"/>
          <w:szCs w:val="24"/>
          <w:rtl w:val="0"/>
        </w:rPr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  <w:rtl w:val="0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  <w:rtl w:val="0"/>
        </w:rPr>
        <w:t xml:space="preserve">加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  <w:rtl w:val="0"/>
        </w:rPr>
        <w:t xml:space="preserve">入經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  <w:rtl w:val="0"/>
        </w:rPr>
        <w:t xml:space="preserve">緯度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  <w:rtl w:val="0"/>
        </w:rPr>
        <w:t xml:space="preserve">資料</w:t>
      </w:r>
      <w:r>
        <w:rPr>
          <w:rFonts w:ascii="標楷體" w:hAnsi="標楷體" w:eastAsia="標楷體" w:cs="標楷體"/>
          <w:sz w:val="24"/>
          <w:szCs w:val="24"/>
          <w:highlight w:val="none"/>
          <w:rtl w:val="0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  <w:rtl w:val="0"/>
        </w:rPr>
        <w:t xml:space="preserve">:</w:t>
      </w:r>
      <w:r>
        <w:rPr>
          <w:rFonts w:ascii="標楷體" w:hAnsi="標楷體" w:eastAsia="標楷體" w:cs="標楷體"/>
          <w:sz w:val="24"/>
          <w:szCs w:val="24"/>
          <w:highlight w:val="none"/>
          <w:rtl w:val="0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  <w:rtl w:val="0"/>
        </w:rPr>
        <w:t xml:space="preserve">使用</w:t>
      </w:r>
      <w:r>
        <w:rPr>
          <w:rFonts w:ascii="標楷體" w:hAnsi="標楷體" w:eastAsia="標楷體" w:cs="標楷體"/>
          <w:sz w:val="24"/>
          <w:szCs w:val="24"/>
        </w:rPr>
        <w:t xml:space="preserve">爬蟲</w:t>
      </w:r>
      <w:r>
        <w:rPr>
          <w:rFonts w:ascii="標楷體" w:hAnsi="標楷體" w:eastAsia="標楷體" w:cs="標楷體"/>
          <w:sz w:val="24"/>
          <w:szCs w:val="24"/>
        </w:rPr>
        <w:t xml:space="preserve">在</w:t>
      </w:r>
      <w:r>
        <w:rPr>
          <w:rFonts w:ascii="標楷體" w:hAnsi="標楷體" w:eastAsia="標楷體" w:cs="標楷體"/>
          <w:sz w:val="24"/>
          <w:szCs w:val="24"/>
        </w:rPr>
        <w:t xml:space="preserve">地理資訊</w:t>
      </w:r>
      <w:r>
        <w:rPr>
          <w:rFonts w:ascii="標楷體" w:hAnsi="標楷體" w:eastAsia="標楷體" w:cs="標楷體"/>
          <w:sz w:val="24"/>
          <w:szCs w:val="24"/>
        </w:rPr>
        <w:t xml:space="preserve">整合平</w:t>
      </w:r>
      <w:r>
        <w:rPr>
          <w:rFonts w:ascii="標楷體" w:hAnsi="標楷體" w:eastAsia="標楷體" w:cs="標楷體"/>
          <w:sz w:val="24"/>
          <w:szCs w:val="24"/>
        </w:rPr>
        <w:t xml:space="preserve">台</w:t>
      </w:r>
      <w:r>
        <w:rPr>
          <w:rFonts w:ascii="標楷體" w:hAnsi="標楷體" w:eastAsia="標楷體" w:cs="標楷體"/>
          <w:sz w:val="24"/>
          <w:szCs w:val="24"/>
        </w:rPr>
        <w:t xml:space="preserve">搜尋</w:t>
      </w:r>
      <w:r>
        <w:rPr>
          <w:rFonts w:ascii="標楷體" w:hAnsi="標楷體" w:eastAsia="標楷體" w:cs="標楷體"/>
          <w:sz w:val="24"/>
          <w:szCs w:val="24"/>
        </w:rPr>
        <w:t xml:space="preserve">經緯度</w:t>
      </w:r>
      <w:r>
        <w:rPr>
          <w:rFonts w:ascii="標楷體" w:hAnsi="標楷體" w:eastAsia="標楷體" w:cs="標楷體"/>
          <w:sz w:val="24"/>
          <w:szCs w:val="24"/>
        </w:rPr>
        <w:t xml:space="preserve">資料</w:t>
      </w:r>
      <w:r>
        <w:rPr>
          <w:rFonts w:ascii="標楷體" w:hAnsi="標楷體" w:eastAsia="標楷體" w:cs="標楷體"/>
          <w:sz w:val="24"/>
          <w:szCs w:val="24"/>
        </w:rPr>
        <w:t xml:space="preserve">並</w:t>
      </w:r>
      <w:r>
        <w:rPr>
          <w:rFonts w:ascii="標楷體" w:hAnsi="標楷體" w:eastAsia="標楷體" w:cs="標楷體"/>
          <w:sz w:val="24"/>
          <w:szCs w:val="24"/>
        </w:rPr>
        <w:t xml:space="preserve">合</w:t>
      </w:r>
      <w:r>
        <w:rPr>
          <w:rFonts w:ascii="標楷體" w:hAnsi="標楷體" w:eastAsia="標楷體" w:cs="標楷體"/>
          <w:sz w:val="24"/>
          <w:szCs w:val="24"/>
        </w:rPr>
        <w:t xml:space="preserve">併</w:t>
      </w:r>
      <w:r>
        <w:rPr>
          <w:rFonts w:ascii="標楷體" w:hAnsi="標楷體" w:eastAsia="標楷體" w:cs="標楷體"/>
          <w:sz w:val="24"/>
          <w:szCs w:val="24"/>
        </w:rPr>
        <w:t xml:space="preserve">到</w:t>
      </w:r>
      <w:r>
        <w:rPr>
          <w:rFonts w:ascii="標楷體" w:hAnsi="標楷體" w:eastAsia="標楷體" w:cs="標楷體"/>
          <w:sz w:val="24"/>
          <w:szCs w:val="24"/>
        </w:rPr>
        <w:t xml:space="preserve">資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</w:r>
      <w:r>
        <w:rPr>
          <w:rFonts w:ascii="標楷體" w:hAnsi="標楷體" w:cs="標楷體"/>
          <w:sz w:val="24"/>
          <w:szCs w:val="24"/>
        </w:rPr>
      </w:r>
    </w:p>
    <w:p>
      <w:pPr>
        <w:pBdr/>
        <w:spacing w:after="240" w:before="0" w:beforeAutospacing="0" w:line="360" w:lineRule="auto"/>
        <w:ind w:firstLine="0" w:left="0"/>
        <w:rPr>
          <w:rFonts w:ascii="DFKai-SB" w:hAnsi="DFKai-SB" w:eastAsia="DFKai-SB" w:cs="DFKai-SB"/>
          <w:sz w:val="24"/>
          <w:szCs w:val="24"/>
        </w:rPr>
      </w:pP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料集</w:t>
      </w:r>
      <w:r>
        <w:rPr>
          <w:rFonts w:ascii="標楷體" w:hAnsi="標楷體" w:eastAsia="標楷體" w:cs="標楷體"/>
          <w:sz w:val="24"/>
          <w:szCs w:val="24"/>
        </w:rPr>
        <w:t xml:space="preserve">裡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ab/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hint="default" w:ascii="Cambria Math" w:hAnsi="Cambria Math" w:eastAsia="Cambria Math" w:cs="Cambria Math"/>
          <w:b/>
          <w:sz w:val="24"/>
          <w:szCs w:val="24"/>
          <w:highlight w:val="white"/>
          <w:rtl w:val="0"/>
        </w:rPr>
        <w:t xml:space="preserve">●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遺失值處理策略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 w:left="720"/>
        <w:rPr/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建築完成年月：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因無法估計，故保留遺失值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但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推測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年代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過於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遙遠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，</w:t>
      </w:r>
      <w:r/>
    </w:p>
    <w:p>
      <w:pPr>
        <w:pBdr/>
        <w:spacing w:line="360" w:lineRule="auto"/>
        <w:ind w:firstLine="0" w:left="720"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  <w:tab/>
        <w:tab/>
        <w:tab/>
      </w:r>
      <w:r>
        <w:rPr>
          <w:rFonts w:ascii="DFKai-SB" w:hAnsi="DFKai-SB" w:eastAsia="DFKai-SB" w:cs="DFKai-SB"/>
          <w:sz w:val="24"/>
          <w:szCs w:val="24"/>
          <w:highlight w:val="none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導致無法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找到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實際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的觀察</w:t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after="280" w:line="360" w:lineRule="auto"/>
        <w:ind w:firstLine="0" w:left="720"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單價元/平方：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車位交易標記為車位類別並移除分析。</w:t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hint="default" w:ascii="Cambria Math" w:hAnsi="Cambria Math" w:eastAsia="Cambria Math" w:cs="Cambria Math"/>
          <w:b/>
          <w:sz w:val="24"/>
          <w:szCs w:val="24"/>
          <w:highlight w:val="white"/>
          <w:rtl w:val="0"/>
        </w:rPr>
        <w:t xml:space="preserve">●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單價的離群值檢測與處理</w:t>
      </w:r>
      <w:r>
        <w:rPr>
          <w:rFonts w:ascii="DFKai-SB" w:hAnsi="DFKai-SB" w:eastAsia="DFKai-SB" w:cs="DFKai-SB"/>
          <w:b/>
          <w:sz w:val="28"/>
          <w:szCs w:val="28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 w:left="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檢測離群值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0" w:left="720"/>
        <w:rPr/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繪製箱型圖檢測離群值。依據公式： </w:t>
      </w:r>
      <w:r/>
    </w:p>
    <w:p>
      <w:pPr>
        <w:pBdr/>
        <w:spacing w:line="360" w:lineRule="auto"/>
        <w:ind w:firstLine="0" w:left="1440"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下限=Q1</w:t>
      </w:r>
      <w:r>
        <w:rPr>
          <w:rFonts w:ascii="Cambria Math" w:hAnsi="Cambria Math" w:eastAsia="Cambria Math" w:cs="Cambria Math"/>
          <w:sz w:val="24"/>
          <w:szCs w:val="24"/>
          <w:rtl w:val="0"/>
        </w:rPr>
        <w:t xml:space="preserve">−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1.5×IQR,上限=Q3+1.5×IQR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0" w:left="1440"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超出此範圍的值視為離群值。</w:t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b/>
          <w:bCs/>
          <w:sz w:val="24"/>
          <w:szCs w:val="24"/>
        </w:rPr>
      </w:r>
      <w:r>
        <w:rPr>
          <w:rFonts w:ascii="DFKai-SB" w:hAnsi="DFKai-SB" w:eastAsia="DFKai-SB" w:cs="DFKai-SB"/>
          <w:b/>
          <w:bCs/>
          <w:sz w:val="24"/>
          <w:szCs w:val="24"/>
        </w:rPr>
      </w:r>
    </w:p>
    <w:p>
      <w:pPr>
        <w:pBdr/>
        <w:spacing w:line="360" w:lineRule="auto"/>
        <w:ind w:firstLine="72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檢測影響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使用 Wilcoxon rank sum test 比較去除離群值前後資料的中位數，檢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查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離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群值是否對數據分佈有顯著影響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: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720" w:left="720"/>
        <w:rPr>
          <w:rFonts w:ascii="DFKai-SB" w:hAnsi="DFKai-SB" w:eastAsia="DFKai-SB" w:cs="DFKai-SB"/>
          <w:sz w:val="24"/>
          <w:szCs w:val="24"/>
          <w:u w:val="none"/>
        </w:rPr>
      </w:pPr>
      <w:r/>
      <m:oMath>
        <m:r>
          <w:rPr>
            <w:rFonts w:hint="default" w:ascii="Cambria Math" w:hAnsi="Cambria Math" w:eastAsia="Cambria Math" w:cs="Cambria Math"/>
            <w:sz w:val="24"/>
            <w:szCs w:val="24"/>
          </w:rPr>
          <m:rPr/>
          <m:t> </m:t>
        </m:r>
        <m:sSub>
          <m:sSubPr>
            <m:ctrlPr>
              <w:rPr>
                <w:rFonts w:ascii="DFKai-SB" w:hAnsi="DFKai-SB" w:eastAsia="DFKai-SB" w:cs="DFKai-SB"/>
                <w:sz w:val="24"/>
                <w:szCs w:val="24"/>
              </w:rPr>
            </m:ctrlPr>
          </m:sSubPr>
          <m:e>
            <m:r>
              <w:rPr>
                <w:rFonts w:ascii="DFKai-SB" w:hAnsi="DFKai-SB" w:eastAsia="DFKai-SB" w:cs="DFKai-SB"/>
                <w:sz w:val="24"/>
                <w:szCs w:val="24"/>
              </w:rPr>
              <m:rPr/>
              <m:t>H</m:t>
            </m:r>
          </m:e>
          <m:sub>
            <m:r>
              <w:rPr>
                <w:rFonts w:ascii="DFKai-SB" w:hAnsi="DFKai-SB" w:eastAsia="DFKai-SB" w:cs="DFKai-SB"/>
                <w:sz w:val="24"/>
                <w:szCs w:val="24"/>
              </w:rPr>
              <m:rPr/>
              <m:t>0</m:t>
            </m:r>
          </m:sub>
        </m:sSub>
      </m:oMath>
      <w:r>
        <w:rPr>
          <w:rFonts w:ascii="DFKai-SB" w:hAnsi="DFKai-SB" w:eastAsia="DFKai-SB" w:cs="DFKai-SB"/>
          <w:sz w:val="24"/>
          <w:szCs w:val="24"/>
          <w:rtl w:val="0"/>
        </w:rPr>
        <w:t xml:space="preserve">:去除離群值前資料的中位數等於去除後資料的中位數。</w:t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pBdr/>
        <w:spacing w:line="360" w:lineRule="auto"/>
        <w:ind w:firstLine="720" w:left="720"/>
        <w:rPr>
          <w:rFonts w:ascii="DFKai-SB" w:hAnsi="DFKai-SB" w:eastAsia="DFKai-SB" w:cs="DFKai-SB"/>
          <w:sz w:val="24"/>
          <w:szCs w:val="24"/>
          <w:u w:val="none"/>
        </w:rPr>
      </w:pPr>
      <w:r/>
      <m:oMath>
        <m:sSub>
          <m:sSubPr>
            <m:ctrlPr>
              <w:rPr>
                <w:rFonts w:ascii="DFKai-SB" w:hAnsi="DFKai-SB" w:eastAsia="DFKai-SB" w:cs="DFKai-SB"/>
                <w:sz w:val="24"/>
                <w:szCs w:val="24"/>
              </w:rPr>
            </m:ctrlPr>
          </m:sSubPr>
          <m:e>
            <m:r>
              <w:rPr>
                <w:rFonts w:ascii="DFKai-SB" w:hAnsi="DFKai-SB" w:eastAsia="DFKai-SB" w:cs="DFKai-SB"/>
                <w:sz w:val="24"/>
                <w:szCs w:val="24"/>
              </w:rPr>
              <m:rPr/>
              <m:t>H</m:t>
            </m:r>
          </m:e>
          <m:sub>
            <m:r>
              <w:rPr>
                <w:rFonts w:ascii="DFKai-SB" w:hAnsi="DFKai-SB" w:eastAsia="DFKai-SB" w:cs="DFKai-SB"/>
                <w:sz w:val="24"/>
                <w:szCs w:val="24"/>
              </w:rPr>
              <m:rPr/>
              <m:t>1</m:t>
            </m:r>
          </m:sub>
        </m:sSub>
      </m:oMath>
      <w:r>
        <w:rPr>
          <w:rFonts w:ascii="DFKai-SB" w:hAnsi="DFKai-SB" w:eastAsia="DFKai-SB" w:cs="DFKai-SB"/>
          <w:sz w:val="24"/>
          <w:szCs w:val="24"/>
          <w:rtl w:val="0"/>
        </w:rPr>
        <w:t xml:space="preserve">:去除離群值前資料的中位數不等於去除後資料的中位數。</w:t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pBdr/>
        <w:spacing w:line="360" w:lineRule="auto"/>
        <w:ind w:firstLine="0" w:left="720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pBdr/>
        <w:spacing w:after="0" w:afterAutospacing="0"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</w:rPr>
      </w:pP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結果</w:t>
      </w:r>
      <w:r>
        <w:rPr>
          <w:rFonts w:ascii="DFKai-SB" w:hAnsi="DFKai-SB" w:eastAsia="DFKai-SB" w:cs="DFKai-SB"/>
          <w:sz w:val="24"/>
          <w:szCs w:val="24"/>
          <w:rtl w:val="0"/>
        </w:rPr>
        <w:br/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單價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: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W=466,335,568 , p-value=2.097×10</w:t>
      </w:r>
      <w:r>
        <w:rPr>
          <w:rFonts w:ascii="Cambria Math" w:hAnsi="Cambria Math" w:eastAsia="Cambria Math" w:cs="Cambria Math"/>
          <w:sz w:val="24"/>
          <w:szCs w:val="24"/>
          <w:rtl w:val="0"/>
        </w:rPr>
        <w:t xml:space="preserve">−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11，顯示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去除單價</w:t>
      </w:r>
      <w:r>
        <w:rPr>
          <w:rFonts w:ascii="DFKai-SB" w:hAnsi="DFKai-SB" w:eastAsia="DFKai-SB" w:cs="DFKai-SB"/>
          <w:b/>
          <w:bCs/>
          <w:sz w:val="24"/>
          <w:szCs w:val="24"/>
        </w:rPr>
      </w:r>
      <w:r>
        <w:rPr>
          <w:rFonts w:ascii="DFKai-SB" w:hAnsi="DFKai-SB" w:eastAsia="DFKai-SB" w:cs="DFKai-SB"/>
          <w:b/>
          <w:bCs/>
          <w:sz w:val="24"/>
          <w:szCs w:val="24"/>
        </w:rPr>
      </w:r>
    </w:p>
    <w:p>
      <w:pPr>
        <w:pBdr/>
        <w:spacing w:after="0" w:afterAutospacing="0" w:line="360" w:lineRule="auto"/>
        <w:ind w:firstLine="0" w:left="144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離群值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後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對於中位數是有影響的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因此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去除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0" w:afterAutospacing="0" w:line="360" w:lineRule="auto"/>
        <w:ind w:firstLine="0" w:left="144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widowControl w:val="false"/>
        <w:pBdr/>
        <w:spacing w:after="0" w:afterAutospacing="0" w:before="0" w:beforeAutospacing="0" w:line="276" w:lineRule="auto"/>
        <w:ind w:firstLine="0" w:left="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  <w:tab/>
        <w:tab/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房屋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面積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: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W = 436,258,973，p-value = 1.382×10⁻¹³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，顯示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去除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widowControl w:val="false"/>
        <w:pBdr/>
        <w:spacing w:after="0" w:afterAutospacing="0" w:before="0" w:beforeAutospacing="0" w:line="276" w:lineRule="auto"/>
        <w:ind w:firstLine="0" w:left="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房屋面積的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離群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值後對於中位數是有影響的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因此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去除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日期轉換與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屋齡計算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after="0" w:afterAutospacing="0" w:before="240" w:line="360" w:lineRule="auto"/>
        <w:ind w:firstLine="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根據交易日期新增變數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: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ｍ＝民國年，ｎ＝月份。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0" w:afterAutospacing="0" w:before="0" w:beforeAutospacing="0" w:line="360" w:lineRule="auto"/>
        <w:ind w:firstLine="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日期格式轉換：將交易日期轉換為西元年。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0" w:beforeAutospacing="0" w:line="360" w:lineRule="auto"/>
        <w:ind w:firstLine="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屋齡計算公式：屋齡=交易日期−建築完成日期。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面積比例計算</w:t>
      </w:r>
      <w:r>
        <w:rPr>
          <w:rFonts w:ascii="DFKai-SB" w:hAnsi="DFKai-SB" w:eastAsia="DFKai-SB" w:cs="DFKai-SB"/>
          <w:b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after="280" w:before="280" w:line="360" w:lineRule="auto"/>
        <w:ind w:firstLine="0" w:left="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  <w:tab/>
        <w:tab/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比例公式：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80" w:before="280" w:line="360" w:lineRule="auto"/>
        <w:ind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主建物占比=</w:t>
      </w:r>
      <m:oMath>
        <m:f>
          <m:fPr>
            <m:ctrlPr>
              <w:rPr>
                <w:rFonts w:ascii="Cambria Math" w:hAnsi="Cambria Math" w:eastAsia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主建物面積</m:t>
            </m:r>
          </m:num>
          <m:den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建物移轉總面積</m:t>
            </m:r>
          </m:den>
        </m:f>
      </m:oMath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80" w:before="280" w:line="360" w:lineRule="auto"/>
        <w:ind/>
        <w:rPr>
          <w:rFonts w:ascii="DFKai-SB" w:hAnsi="DFKai-SB" w:eastAsia="DFKai-SB" w:cs="DFKai-SB"/>
          <w:b/>
          <w:bCs/>
          <w:sz w:val="24"/>
          <w:szCs w:val="24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</w:rPr>
      </w:r>
      <w:r>
        <w:rPr>
          <w:rFonts w:ascii="DFKai-SB" w:hAnsi="DFKai-SB" w:eastAsia="DFKai-SB" w:cs="DFKai-SB"/>
          <w:b/>
          <w:bCs/>
          <w:sz w:val="24"/>
          <w:szCs w:val="24"/>
        </w:rPr>
      </w:r>
    </w:p>
    <w:p>
      <w:pPr>
        <w:pBdr/>
        <w:spacing w:after="280" w:before="280" w:line="360" w:lineRule="auto"/>
        <w:ind/>
        <w:jc w:val="center"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附屬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建物占比=</w:t>
      </w:r>
      <m:oMath>
        <m:f>
          <m:fPr>
            <m:ctrlPr>
              <w:rPr>
                <w:rFonts w:ascii="Cambria Math" w:hAnsi="Cambria Math" w:eastAsia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附屬</m:t>
            </m:r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建物面積</m:t>
            </m:r>
          </m:num>
          <m:den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建物移轉總面積</m:t>
            </m:r>
          </m:den>
        </m:f>
      </m:oMath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after="280" w:before="280" w:line="360" w:lineRule="auto"/>
        <w:ind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80" w:before="280" w:line="360" w:lineRule="auto"/>
        <w:ind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公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佔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建物占比=</w:t>
      </w:r>
      <m:oMath>
        <m:f>
          <m:fPr>
            <m:ctrlPr>
              <w:rPr>
                <w:rFonts w:ascii="Cambria Math" w:hAnsi="Cambria Math" w:eastAsia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公佔</m:t>
            </m:r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建物面積</m:t>
            </m:r>
          </m:num>
          <m:den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建物移轉總面積</m:t>
            </m:r>
          </m:den>
        </m:f>
      </m:oMath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經過資料整理後的變數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tbl>
      <w:tblPr>
        <w:tblStyle w:val="990"/>
        <w:tblW w:w="901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334"/>
        <w:gridCol w:w="804"/>
        <w:gridCol w:w="1039"/>
        <w:gridCol w:w="1039"/>
        <w:gridCol w:w="1039"/>
        <w:gridCol w:w="1039"/>
        <w:gridCol w:w="1039"/>
        <w:gridCol w:w="686"/>
      </w:tblGrid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整合資料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Min.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1st Qu.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Median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Mean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3rd Qu.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Max.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NA's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土地移轉總面積(坪)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3.222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6.657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8.205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9.831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1419.38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總價元(萬)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8.3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1205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1860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2520.8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2930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535000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單價(萬/坪)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4.499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54.261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68.871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70.764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86.019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138.546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車位移轉總面積(坪)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2.424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951.958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車位總價元(萬)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49.98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13530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主建物占比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0.5401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0.7259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0.7079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0.8681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1.0012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房屋面積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/>
              <w:ind/>
              <w:rPr>
                <w:rFonts w:ascii="DFKai-SB" w:hAnsi="DFKai-SB" w:eastAsia="DFKai-SB" w:cs="DFKai-SB"/>
                <w:sz w:val="26"/>
                <w:szCs w:val="26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13.79</w:t>
            </w:r>
            <w:r>
              <w:rPr>
                <w:rFonts w:ascii="DFKai-SB" w:hAnsi="DFKai-SB" w:eastAsia="DFKai-SB" w:cs="DFKai-SB"/>
                <w:sz w:val="26"/>
                <w:szCs w:val="26"/>
              </w:rPr>
            </w:r>
            <w:r>
              <w:rPr>
                <w:rFonts w:ascii="DFKai-SB" w:hAnsi="DFKai-SB" w:eastAsia="DFKai-SB" w:cs="DFKai-SB"/>
                <w:sz w:val="26"/>
                <w:szCs w:val="26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288" w:lineRule="auto"/>
              <w:ind/>
              <w:rPr>
                <w:rFonts w:ascii="DFKai-SB" w:hAnsi="DFKai-SB" w:eastAsia="DFKai-SB" w:cs="DFKai-SB"/>
                <w:sz w:val="20"/>
                <w:szCs w:val="20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highlight w:val="white"/>
                <w:rtl w:val="0"/>
              </w:rPr>
              <w:t xml:space="preserve">24.19</w:t>
            </w:r>
            <w:r>
              <w:rPr>
                <w:rFonts w:ascii="DFKai-SB" w:hAnsi="DFKai-SB" w:eastAsia="DFKai-SB" w:cs="DFKai-SB"/>
                <w:sz w:val="20"/>
                <w:szCs w:val="20"/>
              </w:rPr>
            </w:r>
            <w:r>
              <w:rPr>
                <w:rFonts w:ascii="DFKai-SB" w:hAnsi="DFKai-SB" w:eastAsia="DFKai-SB" w:cs="DFKai-SB"/>
                <w:sz w:val="20"/>
                <w:szCs w:val="20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24.2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32.01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61.29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pBdr/>
        <w:spacing w:line="360" w:lineRule="auto"/>
        <w:ind/>
        <w:rPr>
          <w:highlight w:val="none"/>
        </w:rPr>
      </w:pPr>
      <w:r>
        <w:rPr>
          <w:rtl w:val="0"/>
        </w:rPr>
        <w:t xml:space="preserve"> </w:t>
      </w:r>
      <w:r>
        <w:rPr>
          <w:rtl w:val="0"/>
        </w:rPr>
        <w:t xml:space="preserve"> </w:t>
      </w:r>
      <w:r>
        <w:rPr>
          <w:rtl w:val="0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</w:rPr>
        <w:t xml:space="preserve">客群</w:t>
      </w:r>
      <w:r>
        <w:rPr>
          <w:rFonts w:ascii="DFKai-SB" w:hAnsi="DFKai-SB" w:eastAsia="DFKai-SB" w:cs="DFKai-SB"/>
          <w:b/>
          <w:sz w:val="32"/>
          <w:szCs w:val="32"/>
        </w:rPr>
        <w:t xml:space="preserve">分析</w:t>
      </w:r>
      <w:r>
        <w:rPr>
          <w:rFonts w:ascii="DFKai-SB" w:hAnsi="DFKai-SB" w:eastAsia="DFKai-SB" w:cs="DFKai-SB"/>
          <w:b/>
          <w:sz w:val="32"/>
          <w:szCs w:val="32"/>
        </w:rPr>
        <w:t xml:space="preserve">結果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群體描述與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特徵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老舊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住宅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實用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標楷體" w:hAnsi="標楷體" w:eastAsia="標楷體" w:cs="標楷體"/>
        </w:rPr>
        <w:t xml:space="preserve"> </w:t>
      </w:r>
      <w:r>
        <w:rPr>
          <w:rFonts w:ascii="標楷體" w:hAnsi="標楷體" w:eastAsia="標楷體" w:cs="標楷體"/>
        </w:rPr>
        <w:t xml:space="preserve"> </w:t>
      </w:r>
      <w:r>
        <w:rPr>
          <w:rFonts w:ascii="標楷體" w:hAnsi="標楷體" w:eastAsia="標楷體" w:cs="標楷體"/>
        </w:rPr>
        <w:t xml:space="preserve"> </w:t>
      </w:r>
      <w:r>
        <w:rPr>
          <w:rFonts w:ascii="標楷體" w:hAnsi="標楷體" w:eastAsia="標楷體" w:cs="標楷體"/>
        </w:rPr>
        <w:t xml:space="preserve">傳統實用大家庭追求寬敞舒適的家園，青睞價格親民、土地與主建物面積最大的老宅，擁有豐富的房間、客廳與衛浴空間。他們重視家庭共享的溫馨時光，適合多代同堂或成員眾多的大家庭。選擇郊區的透天厝或大坪數老公寓，這類客群以超高性價比打造充滿回憶的理想居所，無需在意房屋新舊，只為全家人的幸福團聚</w:t>
      </w:r>
      <w:r>
        <w:t xml:space="preserve">。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cs="標楷體"/>
          <w:b/>
          <w:bCs/>
          <w:sz w:val="24"/>
          <w:szCs w:val="24"/>
        </w:rPr>
      </w:pPr>
      <w:r>
        <w:rPr>
          <w:rFonts w:ascii="標楷體" w:hAnsi="標楷體" w:eastAsia="標楷體" w:cs="標楷體"/>
          <w:b/>
          <w:bCs/>
          <w:sz w:val="24"/>
          <w:szCs w:val="24"/>
        </w:rPr>
      </w:r>
      <w:r>
        <w:rPr>
          <w:rFonts w:ascii="標楷體" w:hAnsi="標楷體" w:cs="標楷體"/>
          <w:b/>
          <w:bCs/>
          <w:sz w:val="24"/>
          <w:szCs w:val="24"/>
        </w:rPr>
      </w:r>
      <w:r>
        <w:rPr>
          <w:rFonts w:ascii="標楷體" w:hAnsi="標楷體" w:cs="標楷體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pP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小屋住宅精緻客群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cs="標楷體"/>
          <w:b/>
          <w:bCs/>
          <w:sz w:val="24"/>
          <w:szCs w:val="24"/>
        </w:rPr>
      </w:pPr>
      <w:r>
        <w:rPr>
          <w:rFonts w:ascii="標楷體" w:hAnsi="標楷體" w:cs="標楷體"/>
          <w:b/>
          <w:bCs/>
          <w:sz w:val="24"/>
          <w:szCs w:val="24"/>
        </w:rPr>
      </w:r>
      <w:r>
        <w:rPr>
          <w:rFonts w:ascii="標楷體" w:hAnsi="標楷體" w:cs="標楷體"/>
          <w:b/>
          <w:bCs/>
          <w:sz w:val="24"/>
          <w:szCs w:val="24"/>
        </w:rPr>
      </w:r>
      <w:r>
        <w:rPr>
          <w:rFonts w:ascii="標楷體" w:hAnsi="標楷體" w:cs="標楷體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pP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追求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高品質的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都市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生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活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選擇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土地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與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建物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面積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最小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房間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、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客廳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與衛浴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配置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精簡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的住宅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總預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算最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低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卻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注重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高端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品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味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。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他們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青睞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市中心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高樓層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的大樓住宅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附設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電梯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，享受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高公設比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豐富設施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打造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時尚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、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便利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與精緻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兼具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理想家園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完美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適合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單身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族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以及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小家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庭的生活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。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pP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cs="標楷體"/>
          <w:b/>
          <w:bCs/>
          <w:sz w:val="24"/>
          <w:szCs w:val="24"/>
          <w:highlight w:val="none"/>
        </w:rPr>
      </w:pP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陽光住宅客群</w:t>
      </w:r>
      <w:r>
        <w:rPr>
          <w:rFonts w:ascii="標楷體" w:hAnsi="標楷體" w:cs="標楷體"/>
          <w:b/>
          <w:bCs/>
          <w:sz w:val="24"/>
          <w:szCs w:val="24"/>
          <w:highlight w:val="none"/>
        </w:rPr>
      </w:r>
      <w:r>
        <w:rPr>
          <w:rFonts w:ascii="標楷體" w:hAnsi="標楷體" w:cs="標楷體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eastAsia="標楷體" w:cs="標楷體"/>
          <w:sz w:val="24"/>
          <w:szCs w:val="24"/>
          <w:highlight w:val="none"/>
        </w:rPr>
      </w:pPr>
      <w:r>
        <w:t xml:space="preserve"> </w:t>
      </w:r>
      <w: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追求明亮透光的舒適家園，青睞擁有最多房間、客廳與衛浴配置的大面積住宅，特別注重寬敞的陽台與生活品質。他們選擇屋齡較老、單價親民的房產，</w:t>
      </w:r>
      <w:r>
        <w:rPr>
          <w:rFonts w:ascii="標楷體" w:hAnsi="標楷體" w:eastAsia="標楷體" w:cs="標楷體"/>
          <w:sz w:val="24"/>
          <w:szCs w:val="24"/>
        </w:rPr>
        <w:t xml:space="preserve">購買</w:t>
      </w:r>
      <w:r>
        <w:rPr>
          <w:rFonts w:ascii="標楷體" w:hAnsi="標楷體" w:eastAsia="標楷體" w:cs="標楷體"/>
          <w:sz w:val="24"/>
          <w:szCs w:val="24"/>
        </w:rPr>
        <w:t xml:space="preserve">華</w:t>
      </w:r>
      <w:r>
        <w:rPr>
          <w:rFonts w:ascii="標楷體" w:hAnsi="標楷體" w:eastAsia="標楷體" w:cs="標楷體"/>
          <w:sz w:val="24"/>
          <w:szCs w:val="24"/>
        </w:rPr>
        <w:t xml:space="preserve">廈</w:t>
      </w:r>
      <w:r>
        <w:rPr>
          <w:rFonts w:ascii="標楷體" w:hAnsi="標楷體" w:eastAsia="標楷體" w:cs="標楷體"/>
          <w:sz w:val="24"/>
          <w:szCs w:val="24"/>
        </w:rPr>
        <w:t xml:space="preserve">或大坪數公寓，打造溫馨實用的家庭空間，完美適合注重機能與團聚的大家庭</w:t>
      </w:r>
      <w:r>
        <w:rPr>
          <w:rFonts w:ascii="標楷體" w:hAnsi="標楷體" w:eastAsia="標楷體" w:cs="標楷體"/>
          <w:sz w:val="24"/>
          <w:szCs w:val="24"/>
        </w:rPr>
        <w:t xml:space="preserve">。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pP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豪宅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貴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族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客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群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cs="標楷體"/>
          <w:b/>
          <w:bCs/>
          <w:sz w:val="24"/>
          <w:szCs w:val="24"/>
          <w:highlight w:val="none"/>
        </w:rPr>
      </w:pP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r>
      <w:r>
        <w:rPr>
          <w:rFonts w:ascii="標楷體" w:hAnsi="標楷體" w:cs="標楷體"/>
          <w:b/>
          <w:bCs/>
          <w:sz w:val="24"/>
          <w:szCs w:val="24"/>
          <w:highlight w:val="none"/>
        </w:rPr>
      </w:r>
      <w:r>
        <w:rPr>
          <w:rFonts w:ascii="標楷體" w:hAnsi="標楷體" w:cs="標楷體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cs="標楷體"/>
          <w:sz w:val="24"/>
        </w:rPr>
      </w:pP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</w:rPr>
        <w:t xml:space="preserve">豪華大宅菁英客群追求頂級生活品質，選擇大面積、高樓層的奢華住宅，擁有最高的公設比與完善的車位管理，偏好塔式車位與坡道機械設計。他們擁有充裕的資金與最高預算，不在乎公設占比，只求極致舒適與尊貴體驗。位於市中心的豪華大樓是他們的理想家園，完美詮釋高端生活</w:t>
      </w:r>
      <w:r>
        <w:rPr>
          <w:rFonts w:ascii="標楷體" w:hAnsi="標楷體" w:cs="標楷體"/>
          <w:sz w:val="24"/>
        </w:rPr>
      </w:r>
      <w:r>
        <w:rPr>
          <w:rFonts w:ascii="標楷體" w:hAnsi="標楷體" w:cs="標楷體"/>
          <w:sz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Tabuleau 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表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呈現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結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果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成果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連結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說明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1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、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儀表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版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內建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房市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地段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搜尋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在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該地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區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之下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消費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著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偏好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地段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ab/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  <w:t xml:space="preserve">分析過程</w:t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分群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數 k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的選擇上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以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群內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變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異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量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以及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silhouette score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為主要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最佳 k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選擇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而最終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的結果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以 k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為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4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為主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。</w:t>
      </w:r>
      <w:r>
        <w:rPr>
          <w:rFonts w:ascii="標楷體" w:hAnsi="標楷體" w:cs="標楷體"/>
          <w:sz w:val="24"/>
          <w:szCs w:val="24"/>
          <w:highlight w:val="none"/>
        </w:rPr>
      </w:r>
      <w:r>
        <w:rPr>
          <w:rFonts w:ascii="標楷體" w:hAnsi="標楷體" w:cs="標楷體"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手肘法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k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過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了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4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、5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內中心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變異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量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不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會出現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下滑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因此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選擇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上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以 k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以 4、5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為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主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31815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10242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3414" cy="43181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1.45pt;height:340.0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Silhouette socre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average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Silhouette score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平均數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在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k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點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之中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是以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最高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、4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為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次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因此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在選擇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上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會考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慮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群跟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第四群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為主要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分群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首選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4575" cy="364088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42649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944573" cy="3640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8pt;height:286.68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K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為 2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時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樣本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分群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從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圖上來看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k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為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時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樣本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不夠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平均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因此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不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考慮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是否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要分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二群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/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72155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8692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733414" cy="2721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1.45pt;height:214.3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K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為 4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時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樣本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分群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在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每個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樣本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silhouette score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中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1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跟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分群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效果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較差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跟 3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是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最少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負數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的樣本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是最少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highlight w:val="none"/>
        </w:rPr>
        <w:t xml:space="preserve">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52363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970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3414" cy="2523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51.45pt;height:198.7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tabs>
          <w:tab w:val="left" w:leader="none" w:pos="3512"/>
        </w:tabs>
        <w:spacing w:line="360" w:lineRule="auto"/>
        <w:ind w:firstLine="0"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K 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為 4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群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時的樣本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數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ab/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最高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樣本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為 251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84459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24159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3414" cy="2844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1.45pt;height:223.9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各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客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群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之間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的機率密度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圖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0"/>
        <w:jc w:val="both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一共 19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個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量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變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進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行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機率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密度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圖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比較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 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–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土地移轉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面積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(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坪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)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0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2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1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–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建物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擁有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房數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0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2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1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–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建物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擁有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廳數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: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0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2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 &gt;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1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–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建物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擁有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衛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2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&gt;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0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1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  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–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每坪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單價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1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2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 </w:t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ab/>
        <w:t xml:space="preserve">–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建物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移轉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總面積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1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2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0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72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-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一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筆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樓層數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1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2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0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-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車位移轉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總面積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3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0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1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2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   –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車位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總價元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0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1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2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 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-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總價元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0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2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1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  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 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-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主建物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占比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0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2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1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 &gt;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  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   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-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主建物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面積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(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坪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)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0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2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 &gt;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1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  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-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占比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1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0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2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ab/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 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-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屋齡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0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2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1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-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附屬建物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面積(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坪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)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0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2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1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- 陽台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面積占比 :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2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1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0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    –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陽台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面積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(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坪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)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: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2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&gt;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 0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m:oMath>
        <m:r>
          <w:rPr>
            <w:rFonts w:hint="default" w:ascii="Cambria Math" w:hAnsi="Cambria Math" w:eastAsia="Cambria Math" w:cs="Cambria Math"/>
            <w:sz w:val="24"/>
            <w:szCs w:val="24"/>
            <w:highlight w:val="none"/>
          </w:rPr>
          <m:rPr>
            <m:sty m:val="bi"/>
          </m:rPr>
          <m:t>≅</m:t>
        </m:r>
      </m:oMath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1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tabs>
          <w:tab w:val="left" w:leader="none" w:pos="7667"/>
        </w:tabs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/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t xml:space="preserve"> </w:t>
      </w:r>
      <w:r>
        <w:t xml:space="preserve">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39425" cy="253882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54276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839424" cy="2538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23.58pt;height:199.9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17237" cy="24626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28309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2617237" cy="2462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06.08pt;height:193.9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/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t xml:space="preserve"> </w:t>
      </w:r>
      <w:r>
        <w:t xml:space="preserve">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09375" cy="25483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4370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2409374" cy="2548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189.71pt;height:200.6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6762" cy="256877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381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536762" cy="2568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199.75pt;height:202.2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63200" cy="265312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2850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563199" cy="2653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201.83pt;height:208.91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7712" cy="26626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04165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547712" cy="2662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00.61pt;height:209.6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29875" cy="280751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5528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629874" cy="2807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07.08pt;height:221.0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29875" cy="280552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68313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629874" cy="280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07.08pt;height:220.9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87025" cy="234316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3607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2687024" cy="2343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11.58pt;height:184.5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87000" cy="236221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690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486999" cy="23622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195.83pt;height:186.0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86975" cy="257692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66546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2286974" cy="2576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180.08pt;height:202.91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02037" cy="257692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032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502037" cy="2576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197.01pt;height:202.9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87000" cy="209115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0955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2486999" cy="209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195.83pt;height:164.66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15812" cy="209115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18778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615812" cy="2091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05.97pt;height:164.6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39400" cy="1937444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2305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2639399" cy="1937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207.83pt;height:152.5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4600" cy="197685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60495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2334599" cy="1976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183.83pt;height:155.66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39400" cy="241500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5437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2639399" cy="2414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207.83pt;height:190.16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4600" cy="251460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2636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2334599" cy="251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183.83pt;height:198.0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9264" cy="3127589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26316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5299263" cy="3127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17.26pt;height:246.27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326489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6719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33414" cy="2326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51.45pt;height:183.1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0632" cy="3767550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70034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5470631" cy="3767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30.76pt;height:296.66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3150" cy="2908913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4660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973148" cy="2908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70.33pt;height:229.0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840407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5823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33414" cy="2840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51.45pt;height:223.6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530101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135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733414" cy="2530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51.45pt;height:199.22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135461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3126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733414" cy="3135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51.45pt;height:246.89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pBdr/>
        <w:spacing w:before="280" w:line="360" w:lineRule="auto"/>
        <w:ind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48728" cy="2994106"/>
                <wp:effectExtent l="0" t="0" r="0" b="0"/>
                <wp:docPr id="36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4489149" name="image6.png"/>
                        <pic:cNvPicPr/>
                        <pic:nvPr/>
                      </pic:nvPicPr>
                      <pic:blipFill>
                        <a:blip r:embed="rId43"/>
                        <a:srcRect l="15" t="0" r="15" b="0"/>
                        <a:stretch/>
                      </pic:blipFill>
                      <pic:spPr bwMode="auto">
                        <a:xfrm flipH="0" flipV="0">
                          <a:off x="0" y="0"/>
                          <a:ext cx="4048727" cy="299410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318.80pt;height:235.76pt;mso-wrap-distance-left:0.00pt;mso-wrap-distance-top:0.00pt;mso-wrap-distance-right:0.00pt;mso-wrap-distance-bottom:0.00pt;z-index:1;">
                <v:imagedata r:id="rId43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before="280" w:line="360" w:lineRule="auto"/>
        <w:ind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圖十五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sz w:val="28"/>
          <w:szCs w:val="28"/>
        </w:rPr>
      </w:pPr>
      <w:r>
        <w:rPr>
          <w:rtl w:val="0"/>
        </w:rPr>
      </w:r>
      <w:r>
        <w:rPr>
          <w:rFonts w:ascii="DFKai-SB" w:hAnsi="DFKai-SB" w:eastAsia="DFKai-SB" w:cs="DFKai-SB"/>
          <w:sz w:val="28"/>
          <w:szCs w:val="28"/>
        </w:rPr>
      </w:r>
      <w:r>
        <w:rPr>
          <w:rFonts w:ascii="DFKai-SB" w:hAnsi="DFKai-SB" w:eastAsia="DFKai-SB" w:cs="DFKai-SB"/>
          <w:sz w:val="28"/>
          <w:szCs w:val="28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8"/>
          <w:szCs w:val="28"/>
        </w:rPr>
      </w:pPr>
      <w:r>
        <w:rPr>
          <w:rtl w:val="0"/>
        </w:rPr>
      </w:r>
      <w:r>
        <w:rPr>
          <w:rFonts w:ascii="DFKai-SB" w:hAnsi="DFKai-SB" w:eastAsia="DFKai-SB" w:cs="DFKai-SB"/>
          <w:sz w:val="28"/>
          <w:szCs w:val="28"/>
        </w:rPr>
      </w:r>
      <w:r>
        <w:rPr>
          <w:rFonts w:ascii="DFKai-SB" w:hAnsi="DFKai-SB" w:eastAsia="DFKai-SB" w:cs="DFKai-SB"/>
          <w:sz w:val="28"/>
          <w:szCs w:val="28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</w:rPr>
      </w:r>
      <w:bookmarkStart w:id="1" w:name="_6hht4p2s74no"/>
      <w:r/>
      <w:bookmarkEnd w:id="1"/>
      <w:r>
        <w:rPr>
          <w:rFonts w:ascii="DFKai-SB" w:hAnsi="DFKai-SB" w:eastAsia="DFKai-SB" w:cs="DFKai-SB"/>
          <w:sz w:val="32"/>
          <w:szCs w:val="32"/>
        </w:rPr>
      </w:r>
      <w:bookmarkStart w:id="2" w:name="_20rhjpncvr5h"/>
      <w:r/>
      <w:bookmarkEnd w:id="2"/>
      <w:r>
        <w:rPr>
          <w:rFonts w:ascii="DFKai-SB" w:hAnsi="DFKai-SB" w:eastAsia="DFKai-SB" w:cs="DFKai-SB"/>
          <w:sz w:val="24"/>
          <w:szCs w:val="24"/>
        </w:rPr>
      </w:r>
      <w:bookmarkStart w:id="3" w:name="_p3znh0snyw1k"/>
      <w:r/>
      <w:bookmarkEnd w:id="3"/>
      <w:r>
        <w:rPr>
          <w:rFonts w:ascii="DFKai-SB" w:hAnsi="DFKai-SB" w:eastAsia="DFKai-SB" w:cs="DFKai-SB"/>
          <w:sz w:val="32"/>
          <w:szCs w:val="32"/>
          <w:rtl w:val="0"/>
        </w:rPr>
        <w:t xml:space="preserve">原始資料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Style w:val="983"/>
        <w:keepNext w:val="false"/>
        <w:keepLines w:val="false"/>
        <w:pBdr/>
        <w:spacing w:after="40" w:before="240" w:line="360" w:lineRule="auto"/>
        <w:ind/>
        <w:rPr>
          <w:rFonts w:ascii="DFKai-SB" w:hAnsi="DFKai-SB" w:eastAsia="DFKai-SB" w:cs="DFKai-SB"/>
          <w:color w:val="000000"/>
          <w:sz w:val="24"/>
          <w:szCs w:val="24"/>
        </w:rPr>
      </w:pPr>
      <w:r/>
      <w:bookmarkStart w:id="4" w:name="_46a9el1kaw9l"/>
      <w:r/>
      <w:bookmarkEnd w:id="4"/>
      <w:r>
        <w:rPr>
          <w:rFonts w:ascii="DFKai-SB" w:hAnsi="DFKai-SB" w:eastAsia="DFKai-SB" w:cs="DFKai-SB"/>
          <w:color w:val="000000"/>
          <w:rtl w:val="0"/>
        </w:rPr>
        <w:t xml:space="preserve">    </w:t>
      </w:r>
      <w:r>
        <w:rPr>
          <w:rFonts w:ascii="DFKai-SB" w:hAnsi="DFKai-SB" w:eastAsia="DFKai-SB" w:cs="DFKai-SB"/>
          <w:color w:val="000000"/>
          <w:sz w:val="24"/>
          <w:szCs w:val="24"/>
          <w:rtl w:val="0"/>
        </w:rPr>
        <w:t xml:space="preserve">根據</w:t>
      </w:r>
      <w:r>
        <w:rPr>
          <w:rFonts w:ascii="DFKai-SB" w:hAnsi="DFKai-SB" w:eastAsia="DFKai-SB" w:cs="DFKai-SB"/>
          <w:color w:val="000000"/>
          <w:rtl w:val="0"/>
        </w:rPr>
        <w:t xml:space="preserve">圖一</w:t>
      </w:r>
      <w:r>
        <w:rPr>
          <w:rFonts w:ascii="DFKai-SB" w:hAnsi="DFKai-SB" w:eastAsia="DFKai-SB" w:cs="DFKai-SB"/>
          <w:color w:val="000000"/>
          <w:sz w:val="24"/>
          <w:szCs w:val="24"/>
          <w:rtl w:val="0"/>
        </w:rPr>
        <w:t xml:space="preserve">顯示，中山區為主要購房地點，其次為內湖區。這顯示這些區域在市場上具有較高的吸引力，可能因為其地理位置、交通便利性或生活機能的優勢。</w:t>
      </w:r>
      <w:r>
        <w:rPr>
          <w:rFonts w:ascii="DFKai-SB" w:hAnsi="DFKai-SB" w:eastAsia="DFKai-SB" w:cs="DFKai-SB"/>
          <w:color w:val="000000"/>
          <w:sz w:val="24"/>
          <w:szCs w:val="24"/>
        </w:rPr>
      </w:r>
      <w:r>
        <w:rPr>
          <w:rFonts w:ascii="DFKai-SB" w:hAnsi="DFKai-SB" w:eastAsia="DFKai-SB" w:cs="DFKai-SB"/>
          <w:color w:val="000000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</w:rPr>
      </w:pPr>
      <w:r/>
      <w:bookmarkStart w:id="5" w:name="_ib6d5txqr20g"/>
      <w:r/>
      <w:bookmarkEnd w:id="5"/>
      <w:r>
        <w:rPr>
          <w:rFonts w:ascii="DFKai-SB" w:hAnsi="DFKai-SB" w:eastAsia="DFKai-SB" w:cs="DFKai-SB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57713" cy="2884177"/>
                <wp:effectExtent l="0" t="0" r="0" b="0"/>
                <wp:docPr id="37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4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557713" cy="288417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358.88pt;height:227.10pt;mso-wrap-distance-left:0.00pt;mso-wrap-distance-top:0.00pt;mso-wrap-distance-right:0.00pt;mso-wrap-distance-bottom:0.00pt;z-index:1;">
                <v:imagedata r:id="rId44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sz w:val="32"/>
          <w:szCs w:val="32"/>
        </w:rPr>
      </w:r>
      <w:r>
        <w:rPr>
          <w:rFonts w:ascii="DFKai-SB" w:hAnsi="DFKai-SB" w:eastAsia="DFKai-SB" w:cs="DFKai-SB"/>
          <w:sz w:val="32"/>
          <w:szCs w:val="32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6" w:name="_683i28e8fhgz"/>
      <w:r/>
      <w:bookmarkEnd w:id="6"/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圖二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7" w:name="_17flt24f8sct"/>
      <w:r/>
      <w:bookmarkEnd w:id="7"/>
      <w:r>
        <w:rPr>
          <w:rFonts w:ascii="DFKai-SB" w:hAnsi="DFKai-SB" w:eastAsia="DFKai-SB" w:cs="DFKai-SB"/>
          <w:sz w:val="24"/>
          <w:szCs w:val="24"/>
          <w:rtl w:val="0"/>
        </w:rPr>
        <w:t xml:space="preserve">    在交易標的類型中(圖二)，以“房地（土地+建物）”為主要交易對象，其次為“房地（土地+建物）+車位”。這表明買家多數選擇包含土地和建築物的完整不動產，而附帶車位的交易也占有一定比例。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</w:rPr>
      </w:pPr>
      <w:r/>
      <w:bookmarkStart w:id="8" w:name="_d9u1k0d4eef1"/>
      <w:r/>
      <w:bookmarkEnd w:id="8"/>
      <w:r>
        <w:rPr>
          <w:rFonts w:ascii="DFKai-SB" w:hAnsi="DFKai-SB" w:eastAsia="DFKai-SB" w:cs="DFKai-SB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95788" cy="3272776"/>
                <wp:effectExtent l="0" t="0" r="0" b="0"/>
                <wp:docPr id="38" name="image3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0.png"/>
                        <pic:cNvPicPr/>
                        <pic:nvPr/>
                      </pic:nvPicPr>
                      <pic:blipFill>
                        <a:blip r:embed="rId4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395788" cy="327277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346.13pt;height:257.70pt;mso-wrap-distance-left:0.00pt;mso-wrap-distance-top:0.00pt;mso-wrap-distance-right:0.00pt;mso-wrap-distance-bottom:0.00pt;z-index:1;">
                <v:imagedata r:id="rId45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sz w:val="32"/>
          <w:szCs w:val="32"/>
        </w:rPr>
      </w:r>
      <w:r>
        <w:rPr>
          <w:rFonts w:ascii="DFKai-SB" w:hAnsi="DFKai-SB" w:eastAsia="DFKai-SB" w:cs="DFKai-SB"/>
          <w:sz w:val="32"/>
          <w:szCs w:val="32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6" w:name="_683i28e8fhgz"/>
      <w:r/>
      <w:bookmarkEnd w:id="6"/>
      <w:r>
        <w:rPr>
          <w:rFonts w:ascii="DFKai-SB" w:hAnsi="DFKai-SB" w:eastAsia="DFKai-SB" w:cs="DFKai-SB"/>
          <w:sz w:val="24"/>
          <w:szCs w:val="24"/>
          <w:rtl w:val="0"/>
        </w:rPr>
        <w:t xml:space="preserve">圖三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9" w:name="_n0cx296angq1"/>
      <w:r/>
      <w:bookmarkEnd w:id="9"/>
      <w:r>
        <w:rPr>
          <w:rFonts w:ascii="DFKai-SB" w:hAnsi="DFKai-SB" w:eastAsia="DFKai-SB" w:cs="DFKai-SB"/>
          <w:sz w:val="24"/>
          <w:szCs w:val="24"/>
          <w:rtl w:val="0"/>
        </w:rPr>
        <w:t xml:space="preserve">　　在都市土地使用分區中(圖三)，以“住宅區”的比例最高，其次為“商業區”。這顯示大部分交易目的是滿足住宅需求，少數交易涉及商業用途。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</w:rPr>
      </w:pPr>
      <w:r/>
      <w:bookmarkStart w:id="10" w:name="_81j93ucp9je3"/>
      <w:r/>
      <w:bookmarkEnd w:id="10"/>
      <w:r>
        <w:rPr>
          <w:rFonts w:ascii="DFKai-SB" w:hAnsi="DFKai-SB" w:eastAsia="DFKai-SB" w:cs="DFKai-SB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95950" cy="3876675"/>
                <wp:effectExtent l="0" t="0" r="0" b="0"/>
                <wp:docPr id="39" name="image2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1.png"/>
                        <pic:cNvPicPr/>
                        <pic:nvPr/>
                      </pic:nvPicPr>
                      <pic:blipFill>
                        <a:blip r:embed="rId46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695950" cy="38766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48.50pt;height:305.25pt;mso-wrap-distance-left:0.00pt;mso-wrap-distance-top:0.00pt;mso-wrap-distance-right:0.00pt;mso-wrap-distance-bottom:0.00pt;z-index:1;">
                <v:imagedata r:id="rId46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sz w:val="32"/>
          <w:szCs w:val="32"/>
        </w:rPr>
      </w:r>
      <w:r>
        <w:rPr>
          <w:rFonts w:ascii="DFKai-SB" w:hAnsi="DFKai-SB" w:eastAsia="DFKai-SB" w:cs="DFKai-SB"/>
          <w:sz w:val="32"/>
          <w:szCs w:val="32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</w:rPr>
      </w:pPr>
      <w:r/>
      <w:bookmarkStart w:id="6" w:name="_683i28e8fhgz"/>
      <w:r/>
      <w:bookmarkEnd w:id="6"/>
      <w:r>
        <w:rPr>
          <w:rFonts w:ascii="DFKai-SB" w:hAnsi="DFKai-SB" w:eastAsia="DFKai-SB" w:cs="DFKai-SB"/>
          <w:sz w:val="24"/>
          <w:szCs w:val="24"/>
          <w:rtl w:val="0"/>
        </w:rPr>
        <w:t xml:space="preserve">圖四</w:t>
      </w:r>
      <w:r>
        <w:rPr>
          <w:rFonts w:ascii="DFKai-SB" w:hAnsi="DFKai-SB" w:eastAsia="DFKai-SB" w:cs="DFKai-SB"/>
          <w:sz w:val="32"/>
          <w:szCs w:val="32"/>
        </w:rPr>
      </w:r>
      <w:r>
        <w:rPr>
          <w:rFonts w:ascii="DFKai-SB" w:hAnsi="DFKai-SB" w:eastAsia="DFKai-SB" w:cs="DFKai-SB"/>
          <w:sz w:val="32"/>
          <w:szCs w:val="32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11" w:name="_v2zsj1d3ohq0"/>
      <w:r/>
      <w:bookmarkEnd w:id="11"/>
      <w:r>
        <w:rPr>
          <w:rFonts w:ascii="DFKai-SB" w:hAnsi="DFKai-SB" w:eastAsia="DFKai-SB" w:cs="DFKai-SB"/>
          <w:sz w:val="24"/>
          <w:szCs w:val="24"/>
          <w:rtl w:val="0"/>
        </w:rPr>
        <w:t xml:space="preserve">    在建物型態方面(圖四)，“住宅大樓”為主要交易對象，其次為“公寓”。這反映出現代購房者對多層住宅的偏好，可能因為這類型建築物提供較好的設施和管理服務。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</w:rPr>
      </w:pPr>
      <w:r/>
      <w:bookmarkStart w:id="12" w:name="_x2f6k8ju7bw3"/>
      <w:r/>
      <w:bookmarkEnd w:id="12"/>
      <w:r>
        <w:rPr>
          <w:rFonts w:ascii="DFKai-SB" w:hAnsi="DFKai-SB" w:eastAsia="DFKai-SB" w:cs="DFKai-SB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3251200"/>
                <wp:effectExtent l="0" t="0" r="0" b="0"/>
                <wp:docPr id="40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/>
                        <pic:nvPr/>
                      </pic:nvPicPr>
                      <pic:blipFill>
                        <a:blip r:embed="rId4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3251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51.28pt;height:256.00pt;mso-wrap-distance-left:0.00pt;mso-wrap-distance-top:0.00pt;mso-wrap-distance-right:0.00pt;mso-wrap-distance-bottom:0.00pt;z-index:1;">
                <v:imagedata r:id="rId47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sz w:val="32"/>
          <w:szCs w:val="32"/>
        </w:rPr>
      </w:r>
      <w:r>
        <w:rPr>
          <w:rFonts w:ascii="DFKai-SB" w:hAnsi="DFKai-SB" w:eastAsia="DFKai-SB" w:cs="DFKai-SB"/>
          <w:sz w:val="32"/>
          <w:szCs w:val="32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</w:rPr>
      </w:pPr>
      <w:r/>
      <w:bookmarkStart w:id="6" w:name="_683i28e8fhgz"/>
      <w:r/>
      <w:bookmarkEnd w:id="6"/>
      <w:r>
        <w:rPr>
          <w:rFonts w:ascii="DFKai-SB" w:hAnsi="DFKai-SB" w:eastAsia="DFKai-SB" w:cs="DFKai-SB"/>
          <w:sz w:val="24"/>
          <w:szCs w:val="24"/>
          <w:rtl w:val="0"/>
        </w:rPr>
        <w:t xml:space="preserve">圖五</w:t>
      </w:r>
      <w:r>
        <w:rPr>
          <w:rFonts w:ascii="DFKai-SB" w:hAnsi="DFKai-SB" w:eastAsia="DFKai-SB" w:cs="DFKai-SB"/>
          <w:sz w:val="32"/>
          <w:szCs w:val="32"/>
        </w:rPr>
      </w:r>
      <w:r>
        <w:rPr>
          <w:rFonts w:ascii="DFKai-SB" w:hAnsi="DFKai-SB" w:eastAsia="DFKai-SB" w:cs="DFKai-SB"/>
          <w:sz w:val="32"/>
          <w:szCs w:val="32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6"/>
          <w:szCs w:val="26"/>
        </w:rPr>
      </w:pPr>
      <w:r/>
      <w:bookmarkStart w:id="13" w:name="_qqceahdp13g3"/>
      <w:r/>
      <w:bookmarkEnd w:id="13"/>
      <w:r>
        <w:rPr>
          <w:rFonts w:ascii="DFKai-SB" w:hAnsi="DFKai-SB" w:eastAsia="DFKai-SB" w:cs="DFKai-SB"/>
          <w:sz w:val="26"/>
          <w:szCs w:val="26"/>
          <w:rtl w:val="0"/>
        </w:rPr>
        <w:t xml:space="preserve">    在主要用途中(圖五)，以“住家用”的比例最高，顯示住宅需求仍然是房地產市場的主要驅動力。</w:t>
      </w:r>
      <w:r>
        <w:rPr>
          <w:rFonts w:ascii="DFKai-SB" w:hAnsi="DFKai-SB" w:eastAsia="DFKai-SB" w:cs="DFKai-SB"/>
          <w:sz w:val="26"/>
          <w:szCs w:val="26"/>
        </w:rPr>
      </w:r>
      <w:r>
        <w:rPr>
          <w:rFonts w:ascii="DFKai-SB" w:hAnsi="DFKai-SB" w:eastAsia="DFKai-SB" w:cs="DFKai-SB"/>
          <w:sz w:val="26"/>
          <w:szCs w:val="26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32"/>
          <w:szCs w:val="32"/>
        </w:rPr>
      </w:pPr>
      <w:r/>
      <w:bookmarkStart w:id="14" w:name="_vw2qqwqox554"/>
      <w:r/>
      <w:bookmarkEnd w:id="14"/>
      <w:r>
        <w:rPr>
          <w:rFonts w:ascii="DFKai-SB" w:hAnsi="DFKai-SB" w:eastAsia="DFKai-SB" w:cs="DFKai-SB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3048000"/>
                <wp:effectExtent l="0" t="0" r="0" b="0"/>
                <wp:docPr id="41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/>
                        <pic:nvPr/>
                      </pic:nvPicPr>
                      <pic:blipFill>
                        <a:blip r:embed="rId4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3048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451.28pt;height:240.00pt;mso-wrap-distance-left:0.00pt;mso-wrap-distance-top:0.00pt;mso-wrap-distance-right:0.00pt;mso-wrap-distance-bottom:0.00pt;z-index:1;">
                <v:imagedata r:id="rId48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sz w:val="32"/>
          <w:szCs w:val="32"/>
        </w:rPr>
      </w:r>
      <w:r>
        <w:rPr>
          <w:rFonts w:ascii="DFKai-SB" w:hAnsi="DFKai-SB" w:eastAsia="DFKai-SB" w:cs="DFKai-SB"/>
          <w:sz w:val="32"/>
          <w:szCs w:val="32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</w:rPr>
      </w:pPr>
      <w:r/>
      <w:bookmarkStart w:id="6" w:name="_683i28e8fhgz"/>
      <w:r/>
      <w:bookmarkEnd w:id="6"/>
      <w:r>
        <w:rPr>
          <w:rFonts w:ascii="DFKai-SB" w:hAnsi="DFKai-SB" w:eastAsia="DFKai-SB" w:cs="DFKai-SB"/>
          <w:sz w:val="24"/>
          <w:szCs w:val="24"/>
          <w:rtl w:val="0"/>
        </w:rPr>
        <w:t xml:space="preserve">圖六</w:t>
      </w:r>
      <w:r>
        <w:rPr>
          <w:rFonts w:ascii="DFKai-SB" w:hAnsi="DFKai-SB" w:eastAsia="DFKai-SB" w:cs="DFKai-SB"/>
          <w:sz w:val="32"/>
          <w:szCs w:val="32"/>
        </w:rPr>
      </w:r>
      <w:r>
        <w:rPr>
          <w:rFonts w:ascii="DFKai-SB" w:hAnsi="DFKai-SB" w:eastAsia="DFKai-SB" w:cs="DFKai-SB"/>
          <w:sz w:val="32"/>
          <w:szCs w:val="32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15" w:name="_d1bkbvsrxfje"/>
      <w:r/>
      <w:bookmarkEnd w:id="15"/>
      <w:r>
        <w:rPr>
          <w:rFonts w:ascii="DFKai-SB" w:hAnsi="DFKai-SB" w:eastAsia="DFKai-SB" w:cs="DFKai-SB"/>
          <w:sz w:val="24"/>
          <w:szCs w:val="24"/>
          <w:rtl w:val="0"/>
        </w:rPr>
        <w:t xml:space="preserve">    在建物建材方面(圖六)，以“鋼筋混凝土”為主要材料。這表明市場上的建築物多為耐久性高的現代化結構。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</w:rPr>
      </w:pPr>
      <w:r/>
      <w:bookmarkStart w:id="16" w:name="_ou6kkqudign"/>
      <w:r/>
      <w:bookmarkEnd w:id="16"/>
      <w:r>
        <w:rPr>
          <w:rFonts w:ascii="DFKai-SB" w:hAnsi="DFKai-SB" w:eastAsia="DFKai-SB" w:cs="DFKai-SB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3136900"/>
                <wp:effectExtent l="0" t="0" r="0" b="0"/>
                <wp:docPr id="42" name="image2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5.png"/>
                        <pic:cNvPicPr/>
                        <pic:nvPr/>
                      </pic:nvPicPr>
                      <pic:blipFill>
                        <a:blip r:embed="rId4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3136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451.28pt;height:247.00pt;mso-wrap-distance-left:0.00pt;mso-wrap-distance-top:0.00pt;mso-wrap-distance-right:0.00pt;mso-wrap-distance-bottom:0.00pt;z-index:1;">
                <v:imagedata r:id="rId49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sz w:val="32"/>
          <w:szCs w:val="32"/>
        </w:rPr>
      </w:r>
      <w:r>
        <w:rPr>
          <w:rFonts w:ascii="DFKai-SB" w:hAnsi="DFKai-SB" w:eastAsia="DFKai-SB" w:cs="DFKai-SB"/>
          <w:sz w:val="32"/>
          <w:szCs w:val="32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6" w:name="_683i28e8fhgz"/>
      <w:r/>
      <w:bookmarkEnd w:id="6"/>
      <w:r>
        <w:rPr>
          <w:rFonts w:ascii="DFKai-SB" w:hAnsi="DFKai-SB" w:eastAsia="DFKai-SB" w:cs="DFKai-SB"/>
          <w:sz w:val="24"/>
          <w:szCs w:val="24"/>
          <w:rtl w:val="0"/>
        </w:rPr>
        <w:t xml:space="preserve">圖七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17" w:name="_lgt9jxhqk1o8"/>
      <w:r/>
      <w:bookmarkEnd w:id="17"/>
      <w:r>
        <w:rPr>
          <w:rFonts w:ascii="DFKai-SB" w:hAnsi="DFKai-SB" w:eastAsia="DFKai-SB" w:cs="DFKai-SB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42451" cy="3100151"/>
                <wp:effectExtent l="12700" t="12700" r="12700" b="12700"/>
                <wp:docPr id="43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50"/>
                        <a:srcRect l="-748" t="4579" r="3500" b="2896"/>
                        <a:stretch/>
                      </pic:blipFill>
                      <pic:spPr bwMode="auto">
                        <a:xfrm>
                          <a:off x="0" y="0"/>
                          <a:ext cx="3842451" cy="3100151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5F76A3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302.56pt;height:244.11pt;mso-wrap-distance-left:0.00pt;mso-wrap-distance-top:0.00pt;mso-wrap-distance-right:0.00pt;mso-wrap-distance-bottom:0.00pt;z-index:1;" strokecolor="#5F76A3" strokeweight="1.00pt">
                <v:imagedata r:id="rId50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18" w:name="_5dpplcds20ho"/>
      <w:r/>
      <w:bookmarkEnd w:id="18"/>
      <w:r>
        <w:rPr>
          <w:rFonts w:ascii="DFKai-SB" w:hAnsi="DFKai-SB" w:eastAsia="DFKai-SB" w:cs="DFKai-SB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55025" cy="2921101"/>
                <wp:effectExtent l="12700" t="12700" r="12700" b="12700"/>
                <wp:docPr id="44" name="image3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4.png"/>
                        <pic:cNvPicPr/>
                        <pic:nvPr/>
                      </pic:nvPicPr>
                      <pic:blipFill>
                        <a:blip r:embed="rId51"/>
                        <a:srcRect l="0" t="4408" r="3920" b="2775"/>
                        <a:stretch/>
                      </pic:blipFill>
                      <pic:spPr bwMode="auto">
                        <a:xfrm>
                          <a:off x="0" y="0"/>
                          <a:ext cx="3855025" cy="2921101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5F76A3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303.55pt;height:230.01pt;mso-wrap-distance-left:0.00pt;mso-wrap-distance-top:0.00pt;mso-wrap-distance-right:0.00pt;mso-wrap-distance-bottom:0.00pt;z-index:1;" strokecolor="#5F76A3" strokeweight="1.00pt">
                <v:imagedata r:id="rId51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19" w:name="_syyukg1i4s4a"/>
      <w:r/>
      <w:bookmarkEnd w:id="19"/>
      <w:r>
        <w:rPr>
          <w:rFonts w:ascii="DFKai-SB" w:hAnsi="DFKai-SB" w:eastAsia="DFKai-SB" w:cs="DFKai-SB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73850" cy="2971224"/>
                <wp:effectExtent l="12700" t="12700" r="12700" b="12700"/>
                <wp:docPr id="45" name="image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png"/>
                        <pic:cNvPicPr/>
                        <pic:nvPr/>
                      </pic:nvPicPr>
                      <pic:blipFill>
                        <a:blip r:embed="rId52"/>
                        <a:srcRect l="0" t="4150" r="3807" b="3418"/>
                        <a:stretch/>
                      </pic:blipFill>
                      <pic:spPr bwMode="auto">
                        <a:xfrm>
                          <a:off x="0" y="0"/>
                          <a:ext cx="3673850" cy="2971224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5F76A3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289.28pt;height:233.95pt;mso-wrap-distance-left:0.00pt;mso-wrap-distance-top:0.00pt;mso-wrap-distance-right:0.00pt;mso-wrap-distance-bottom:0.00pt;z-index:1;" strokecolor="#5F76A3" strokeweight="1.00pt">
                <v:imagedata r:id="rId52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20" w:name="_9ukdscb4acn5"/>
      <w:r/>
      <w:bookmarkEnd w:id="20"/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21" w:name="_v7zu6vg619uh"/>
      <w:r/>
      <w:bookmarkEnd w:id="21"/>
      <w:r>
        <w:rPr>
          <w:rFonts w:ascii="DFKai-SB" w:hAnsi="DFKai-SB" w:eastAsia="DFKai-SB" w:cs="DFKai-SB"/>
          <w:sz w:val="24"/>
          <w:szCs w:val="24"/>
          <w:rtl w:val="0"/>
        </w:rPr>
        <w:t xml:space="preserve">    在是否設有管理組織中(圖七)，大部分建築物都有管理組織。這可能是因為有管理的建築物能提供更好的安全性和便利性。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</w:rPr>
      </w:pPr>
      <w:r/>
      <w:bookmarkStart w:id="22" w:name="_2egt1yws96ht"/>
      <w:r/>
      <w:bookmarkEnd w:id="22"/>
      <w:r>
        <w:rPr>
          <w:rFonts w:ascii="DFKai-SB" w:hAnsi="DFKai-SB" w:eastAsia="DFKai-SB" w:cs="DFKai-SB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3022600"/>
                <wp:effectExtent l="0" t="0" r="0" b="0"/>
                <wp:docPr id="46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53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3022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451.28pt;height:238.00pt;mso-wrap-distance-left:0.00pt;mso-wrap-distance-top:0.00pt;mso-wrap-distance-right:0.00pt;mso-wrap-distance-bottom:0.00pt;z-index:1;">
                <v:imagedata r:id="rId53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sz w:val="32"/>
          <w:szCs w:val="32"/>
        </w:rPr>
      </w:r>
      <w:r>
        <w:rPr>
          <w:rFonts w:ascii="DFKai-SB" w:hAnsi="DFKai-SB" w:eastAsia="DFKai-SB" w:cs="DFKai-SB"/>
          <w:sz w:val="32"/>
          <w:szCs w:val="32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6" w:name="_683i28e8fhgz"/>
      <w:r/>
      <w:bookmarkEnd w:id="6"/>
      <w:r>
        <w:rPr>
          <w:rFonts w:ascii="DFKai-SB" w:hAnsi="DFKai-SB" w:eastAsia="DFKai-SB" w:cs="DFKai-SB"/>
          <w:sz w:val="24"/>
          <w:szCs w:val="24"/>
          <w:rtl w:val="0"/>
        </w:rPr>
        <w:t xml:space="preserve">圖八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23" w:name="_e8l5hzw0kl98"/>
      <w:r/>
      <w:bookmarkEnd w:id="23"/>
      <w:r>
        <w:rPr>
          <w:rFonts w:ascii="DFKai-SB" w:hAnsi="DFKai-SB" w:eastAsia="DFKai-SB" w:cs="DFKai-SB"/>
          <w:sz w:val="24"/>
          <w:szCs w:val="24"/>
          <w:rtl w:val="0"/>
        </w:rPr>
        <w:t xml:space="preserve">    在車位類別中(圖八)，以“坡道平面車位”的比例最高，其次為“坡道機械車位”。這表明大部分購房者更傾向於選擇使用方便的車位類型。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</w:rPr>
      </w:pPr>
      <w:r/>
      <w:bookmarkStart w:id="24" w:name="_vfunqmdaayn"/>
      <w:r/>
      <w:bookmarkEnd w:id="24"/>
      <w:r>
        <w:rPr>
          <w:rFonts w:ascii="DFKai-SB" w:hAnsi="DFKai-SB" w:eastAsia="DFKai-SB" w:cs="DFKai-SB"/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62575" cy="3228975"/>
                <wp:effectExtent l="0" t="0" r="0" b="0"/>
                <wp:docPr id="47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/>
                        <pic:cNvPicPr/>
                        <pic:nvPr/>
                      </pic:nvPicPr>
                      <pic:blipFill>
                        <a:blip r:embed="rId5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362575" cy="32289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422.25pt;height:254.25pt;mso-wrap-distance-left:0.00pt;mso-wrap-distance-top:0.00pt;mso-wrap-distance-right:0.00pt;mso-wrap-distance-bottom:0.00pt;z-index:1;">
                <v:imagedata r:id="rId54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sz w:val="32"/>
          <w:szCs w:val="32"/>
        </w:rPr>
      </w:r>
      <w:r>
        <w:rPr>
          <w:rFonts w:ascii="DFKai-SB" w:hAnsi="DFKai-SB" w:eastAsia="DFKai-SB" w:cs="DFKai-SB"/>
          <w:sz w:val="32"/>
          <w:szCs w:val="32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bookmarkStart w:id="6" w:name="_683i28e8fhgz"/>
      <w:r/>
      <w:bookmarkEnd w:id="6"/>
      <w:r>
        <w:rPr>
          <w:rFonts w:ascii="DFKai-SB" w:hAnsi="DFKai-SB" w:eastAsia="DFKai-SB" w:cs="DFKai-SB"/>
          <w:sz w:val="24"/>
          <w:szCs w:val="24"/>
          <w:rtl w:val="0"/>
        </w:rPr>
        <w:t xml:space="preserve">圖九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</w:rPr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交易量增長原因與市場特徵分析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　　在了解原始資料變數的分佈後，我們進一步分析了112年與113年的交易量，根據圖九、十我們發現在112年與113年的3月以及5月時交易量有明顯的增長，造成這兩段時間交易量顯著成長的背後，可能涉及幾項重要的市場現象與政策影響。以下我們針對主要原因進行說明：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0" w:left="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0" w:left="0"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bCs/>
          <w:sz w:val="28"/>
          <w:szCs w:val="28"/>
          <w:rtl w:val="0"/>
        </w:rPr>
        <w:t xml:space="preserve">政策刺激效應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0" w:left="0"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　　政府在這段時間推出了多項有利於房地產市場的政策。例如，112年實施的「青年安心成家貸款」，該政策專門針對首次購房者提供較低的貸款利率，有效提高了年輕族群的購房能力，進而促使這些群體在該時段進行購房交易。此外，對於多房持有者來說，政府推動的「囤房稅」和「平均地權條例」等政策也促使其在政策正式生效前加速拋售房產，以避免未來的稅務負擔。因此，這一波政策效應引發了市場上較多的交易行為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bCs/>
          <w:sz w:val="28"/>
          <w:szCs w:val="28"/>
          <w:rtl w:val="0"/>
        </w:rPr>
        <w:t xml:space="preserve">季節性需求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　　台灣房地產市場具有明顯的季節性波動，其中3月、5月和9月為交易旺季。3月的329檔期，結合春節後和清明、兒童節連假，是市場試水溫的關鍵時機。5月的520檔期則受到經濟政策利多和促銷活動的影響，進一步提升了購房需求。9月的928檔期在經過較冷淡的鬼月後迎來市場回溫，交易熱度常會延續至年底的各大節慶。因此，這些季節性因素對台灣房地產市場的交易量具有重要影響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  <w:highlight w:val="none"/>
        </w:rPr>
      </w:pPr>
      <w:r/>
      <w:bookmarkStart w:id="26" w:name="_f8ob7gbayaq8"/>
      <w:r/>
      <w:bookmarkEnd w:id="26"/>
      <w:r>
        <w:rPr>
          <w:rFonts w:ascii="DFKai-SB" w:hAnsi="DFKai-SB" w:eastAsia="DFKai-SB" w:cs="DFKai-SB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3187700"/>
                <wp:effectExtent l="0" t="0" r="0" b="0"/>
                <wp:docPr id="48" name="image3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1.png"/>
                        <pic:cNvPicPr/>
                        <pic:nvPr/>
                      </pic:nvPicPr>
                      <pic:blipFill>
                        <a:blip r:embed="rId5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3187700"/>
                        </a:xfrm>
                        <a:prstGeom prst="rect">
                          <a:avLst/>
                        </a:prstGeom>
                        <a:ln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451.28pt;height:251.00pt;mso-wrap-distance-left:0.00pt;mso-wrap-distance-top:0.00pt;mso-wrap-distance-right:0.00pt;mso-wrap-distance-bottom:0.00pt;z-index:1;">
                <v:imagedata r:id="rId55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圖十</w:t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</w:r>
      <w:bookmarkStart w:id="28" w:name="_rvvqd01df9ay"/>
      <w:r/>
      <w:bookmarkEnd w:id="28"/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經過資料整理後的變數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表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二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tbl>
      <w:tblPr>
        <w:tblStyle w:val="990"/>
        <w:tblW w:w="901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334"/>
        <w:gridCol w:w="804"/>
        <w:gridCol w:w="1039"/>
        <w:gridCol w:w="1039"/>
        <w:gridCol w:w="1039"/>
        <w:gridCol w:w="1039"/>
        <w:gridCol w:w="1039"/>
        <w:gridCol w:w="686"/>
        <w:tblGridChange w:id="0">
          <w:tblGrid>
            <w:gridCol w:w="2334"/>
            <w:gridCol w:w="804"/>
            <w:gridCol w:w="1039"/>
            <w:gridCol w:w="1039"/>
            <w:gridCol w:w="1039"/>
            <w:gridCol w:w="1039"/>
            <w:gridCol w:w="1039"/>
            <w:gridCol w:w="686"/>
          </w:tblGrid>
        </w:tblGridChange>
      </w:tblGrid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整合資料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Min.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1st Qu.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Median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Mean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3rd Qu.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Max.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NA's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土地移轉總面積(坪)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3.222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6.657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8.205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9.831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1419.38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總價元(萬)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8.3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1205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1860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2520.8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2930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535000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單價(萬/坪)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4.499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54.261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68.871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70.764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86.019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138.546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車位移轉總面積(坪)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2.424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951.958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車位總價元(萬)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49.98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13530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主建物占比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0.5401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0.7259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0.7079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0.8681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1.0012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房屋面積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/>
              <w:ind/>
              <w:rPr>
                <w:rFonts w:ascii="DFKai-SB" w:hAnsi="DFKai-SB" w:eastAsia="DFKai-SB" w:cs="DFKai-SB"/>
                <w:sz w:val="26"/>
                <w:szCs w:val="26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13.79</w:t>
            </w:r>
            <w:r>
              <w:rPr>
                <w:rFonts w:ascii="DFKai-SB" w:hAnsi="DFKai-SB" w:eastAsia="DFKai-SB" w:cs="DFKai-SB"/>
                <w:sz w:val="26"/>
                <w:szCs w:val="26"/>
              </w:rPr>
            </w:r>
            <w:r>
              <w:rPr>
                <w:rFonts w:ascii="DFKai-SB" w:hAnsi="DFKai-SB" w:eastAsia="DFKai-SB" w:cs="DFKai-SB"/>
                <w:sz w:val="26"/>
                <w:szCs w:val="26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288" w:lineRule="auto"/>
              <w:ind/>
              <w:rPr>
                <w:rFonts w:ascii="DFKai-SB" w:hAnsi="DFKai-SB" w:eastAsia="DFKai-SB" w:cs="DFKai-SB"/>
                <w:sz w:val="20"/>
                <w:szCs w:val="20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highlight w:val="white"/>
                <w:rtl w:val="0"/>
              </w:rPr>
              <w:t xml:space="preserve">24.19</w:t>
            </w:r>
            <w:r>
              <w:rPr>
                <w:rFonts w:ascii="DFKai-SB" w:hAnsi="DFKai-SB" w:eastAsia="DFKai-SB" w:cs="DFKai-SB"/>
                <w:sz w:val="20"/>
                <w:szCs w:val="20"/>
              </w:rPr>
            </w:r>
            <w:r>
              <w:rPr>
                <w:rFonts w:ascii="DFKai-SB" w:hAnsi="DFKai-SB" w:eastAsia="DFKai-SB" w:cs="DFKai-SB"/>
                <w:sz w:val="20"/>
                <w:szCs w:val="20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24.2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32.01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61.29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br w:type="page" w:clear="all"/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sz w:val="28"/>
          <w:szCs w:val="28"/>
        </w:rPr>
      </w:pP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敘述統計量</w:t>
      </w:r>
      <w:r>
        <w:rPr>
          <w:rFonts w:ascii="DFKai-SB" w:hAnsi="DFKai-SB" w:eastAsia="DFKai-SB" w:cs="DFKai-SB"/>
          <w:b/>
          <w:sz w:val="28"/>
          <w:szCs w:val="28"/>
        </w:rPr>
      </w:r>
      <w:r>
        <w:rPr>
          <w:rFonts w:ascii="DFKai-SB" w:hAnsi="DFKai-SB" w:eastAsia="DFKai-SB" w:cs="DFKai-SB"/>
          <w:b/>
          <w:sz w:val="28"/>
          <w:szCs w:val="28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sz w:val="24"/>
          <w:szCs w:val="24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一、資料整合後的變化</w:t>
      </w:r>
      <w:r>
        <w:rPr>
          <w:rFonts w:ascii="DFKai-SB" w:hAnsi="DFKai-SB" w:eastAsia="DFKai-SB" w:cs="DFKai-SB"/>
          <w:b/>
          <w:sz w:val="24"/>
          <w:szCs w:val="24"/>
        </w:rPr>
      </w:r>
      <w:r>
        <w:rPr>
          <w:rFonts w:ascii="DFKai-SB" w:hAnsi="DFKai-SB" w:eastAsia="DFKai-SB" w:cs="DFKai-SB"/>
          <w:b/>
          <w:sz w:val="24"/>
          <w:szCs w:val="24"/>
        </w:rPr>
      </w:r>
    </w:p>
    <w:p>
      <w:pPr>
        <w:numPr>
          <w:ilvl w:val="0"/>
          <w:numId w:val="16"/>
        </w:numPr>
        <w:pBdr/>
        <w:spacing w:line="360" w:lineRule="auto"/>
        <w:ind w:hanging="36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都市使用分區與交易特性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：</w:t>
        <w:br/>
        <w:t xml:space="preserve">整合後的資料顯示，以「住」的交易次數最多，交易地區集中於中山區，主要交易標的為「房地(建物+土地)」。住宅大樓（11 層以上含電梯）交易量最大，住家用途為主流，建材以鋼筋混凝土造占多數。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numPr>
          <w:ilvl w:val="0"/>
          <w:numId w:val="16"/>
        </w:numPr>
        <w:pBdr/>
        <w:spacing w:line="360" w:lineRule="auto"/>
        <w:ind w:hanging="36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室內格局與設施偏好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：</w:t>
        <w:br/>
        <w:t xml:space="preserve">房數以「3 房」交易最多，廳數與衛數分別為「2 廳」與「1 衛」為主。有隔間、有管理的建物，以及坡道平面車位的交易占比較高，顯示現代化與便利性為市場偏好。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sz w:val="24"/>
          <w:szCs w:val="24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二、原始資料與整合資料的比較</w:t>
      </w:r>
      <w:r>
        <w:rPr>
          <w:rFonts w:ascii="DFKai-SB" w:hAnsi="DFKai-SB" w:eastAsia="DFKai-SB" w:cs="DFKai-SB"/>
          <w:b/>
          <w:sz w:val="24"/>
          <w:szCs w:val="24"/>
        </w:rPr>
      </w:r>
      <w:r>
        <w:rPr>
          <w:rFonts w:ascii="DFKai-SB" w:hAnsi="DFKai-SB" w:eastAsia="DFKai-SB" w:cs="DFKai-SB"/>
          <w:b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以下統計量顯示整合資料在單位轉換與欄位清理後的變化：</w:t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line="360" w:lineRule="auto"/>
        <w:ind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表三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tbl>
      <w:tblPr>
        <w:tblStyle w:val="991"/>
        <w:tblW w:w="59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4059"/>
        <w:tblGridChange w:id="1">
          <w:tblGrid>
            <w:gridCol w:w="1890"/>
            <w:gridCol w:w="4059"/>
          </w:tblGrid>
        </w:tblGridChange>
      </w:tblGrid>
      <w:tr>
        <w:trPr>
          <w:cantSplit w:val="false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b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b/>
                <w:sz w:val="24"/>
                <w:szCs w:val="24"/>
                <w:rtl w:val="0"/>
              </w:rPr>
              <w:t xml:space="preserve">指標</w:t>
            </w:r>
            <w:r>
              <w:rPr>
                <w:rFonts w:ascii="DFKai-SB" w:hAnsi="DFKai-SB" w:eastAsia="DFKai-SB" w:cs="DFKai-SB"/>
                <w:b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b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b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b/>
                <w:sz w:val="24"/>
                <w:szCs w:val="24"/>
                <w:rtl w:val="0"/>
              </w:rPr>
              <w:t xml:space="preserve">原始資料範圍(單位:元；平方公尺)</w:t>
            </w:r>
            <w:r>
              <w:rPr>
                <w:rFonts w:ascii="DFKai-SB" w:hAnsi="DFKai-SB" w:eastAsia="DFKai-SB" w:cs="DFKai-SB"/>
                <w:b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b/>
                <w:sz w:val="24"/>
                <w:szCs w:val="24"/>
              </w:rPr>
            </w:r>
          </w:p>
        </w:tc>
      </w:tr>
      <w:tr>
        <w:trPr>
          <w:cantSplit w:val="false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b/>
                <w:sz w:val="24"/>
                <w:szCs w:val="24"/>
                <w:rtl w:val="0"/>
              </w:rPr>
              <w:t xml:space="preserve">土地移轉總面積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Min: 0 / Max: 61,415.16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b/>
                <w:sz w:val="24"/>
                <w:szCs w:val="24"/>
                <w:rtl w:val="0"/>
              </w:rPr>
              <w:t xml:space="preserve">總價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Min: 35 / Max: 5.35E+09 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b/>
                <w:sz w:val="24"/>
                <w:szCs w:val="24"/>
                <w:rtl w:val="0"/>
              </w:rPr>
              <w:t xml:space="preserve">單價(元/坪)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Min: 0 / Max: 6,544,205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b/>
                <w:sz w:val="24"/>
                <w:szCs w:val="24"/>
                <w:rtl w:val="0"/>
              </w:rPr>
              <w:t xml:space="preserve">車位總價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Min: 0 / Max: 2.64E+08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b/>
                <w:sz w:val="24"/>
                <w:szCs w:val="24"/>
                <w:rtl w:val="0"/>
              </w:rPr>
              <w:t xml:space="preserve">車位移轉總面積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Min: 0 / Max: 3,146.22 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b/>
                <w:sz w:val="24"/>
                <w:szCs w:val="24"/>
                <w:rtl w:val="0"/>
              </w:rPr>
              <w:t xml:space="preserve">主建物面積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Min: 0 / Max: 10,629.73 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b/>
                <w:sz w:val="24"/>
                <w:szCs w:val="24"/>
                <w:rtl w:val="0"/>
              </w:rPr>
              <w:t xml:space="preserve">附屬建物面積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Min: 0 / Max: 590.61 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b/>
                <w:sz w:val="24"/>
                <w:szCs w:val="24"/>
                <w:rtl w:val="0"/>
              </w:rPr>
              <w:t xml:space="preserve">陽台面積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Min: 0 / Max: 911.84 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pBdr/>
        <w:spacing w:line="360" w:lineRule="auto"/>
        <w:ind/>
        <w:jc w:val="left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圖二十九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36"/>
          <w:szCs w:val="36"/>
        </w:rPr>
      </w:pPr>
      <w:r>
        <w:rPr>
          <w:rtl w:val="0"/>
        </w:rPr>
      </w:r>
      <w:r>
        <w:rPr>
          <w:rFonts w:ascii="DFKai-SB" w:hAnsi="DFKai-SB" w:eastAsia="DFKai-SB" w:cs="DFKai-SB"/>
          <w:sz w:val="36"/>
          <w:szCs w:val="36"/>
        </w:rPr>
      </w:r>
      <w:r>
        <w:rPr>
          <w:rFonts w:ascii="DFKai-SB" w:hAnsi="DFKai-SB" w:eastAsia="DFKai-SB" w:cs="DFKai-SB"/>
          <w:sz w:val="36"/>
          <w:szCs w:val="36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36"/>
          <w:szCs w:val="36"/>
        </w:rPr>
      </w:pPr>
      <w:r>
        <w:rPr>
          <w:rtl w:val="0"/>
        </w:rPr>
      </w:r>
      <w:r>
        <w:rPr>
          <w:rFonts w:ascii="DFKai-SB" w:hAnsi="DFKai-SB" w:eastAsia="DFKai-SB" w:cs="DFKai-SB"/>
          <w:sz w:val="36"/>
          <w:szCs w:val="36"/>
        </w:rPr>
      </w:r>
      <w:r>
        <w:rPr>
          <w:rFonts w:ascii="DFKai-SB" w:hAnsi="DFKai-SB" w:eastAsia="DFKai-SB" w:cs="DFKai-SB"/>
          <w:sz w:val="36"/>
          <w:szCs w:val="36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36"/>
          <w:szCs w:val="36"/>
        </w:rPr>
      </w:pPr>
      <w:r>
        <w:rPr>
          <w:rFonts w:ascii="DFKai-SB" w:hAnsi="DFKai-SB" w:eastAsia="DFKai-SB" w:cs="DFKai-SB"/>
          <w:sz w:val="36"/>
          <w:szCs w:val="36"/>
          <w:rtl w:val="0"/>
        </w:rPr>
        <w:t xml:space="preserve">附錄</w:t>
      </w:r>
      <w:r>
        <w:rPr>
          <w:rFonts w:ascii="DFKai-SB" w:hAnsi="DFKai-SB" w:eastAsia="DFKai-SB" w:cs="DFKai-SB"/>
          <w:sz w:val="36"/>
          <w:szCs w:val="36"/>
        </w:rPr>
      </w:r>
      <w:r>
        <w:rPr>
          <w:rFonts w:ascii="DFKai-SB" w:hAnsi="DFKai-SB" w:eastAsia="DFKai-SB" w:cs="DFKai-SB"/>
          <w:sz w:val="36"/>
          <w:szCs w:val="36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各地區交易量(Tabuleau):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/>
      <w:hyperlink r:id="rId56" w:tooltip="https://public.tableau.com/views/_17350963058970/1_1?:language=zh-TW&amp;publish=yes&amp;:sid=&amp;:redirect=auth&amp;:display_count=n&amp;:origin=viz_share_link" w:history="1">
        <w:r>
          <w:rPr>
            <w:rFonts w:ascii="DFKai-SB" w:hAnsi="DFKai-SB" w:eastAsia="DFKai-SB" w:cs="DFKai-SB"/>
            <w:color w:val="1155cc"/>
            <w:sz w:val="24"/>
            <w:szCs w:val="24"/>
            <w:u w:val="single"/>
            <w:rtl w:val="0"/>
          </w:rPr>
          <w:t xml:space="preserve">https://public.tableau.com/views/_17350963058970/1_1?:language=zh-TW&amp;publish=yes&amp;:sid=&amp;:redirect=auth&amp;:display_count=n&amp;:origin=viz_share_link</w:t>
        </w:r>
      </w:hyperlink>
      <w:r>
        <w:rPr>
          <w:rFonts w:ascii="DFKai-SB" w:hAnsi="DFKai-SB" w:eastAsia="DFKai-SB" w:cs="DFKai-SB"/>
          <w:sz w:val="24"/>
          <w:szCs w:val="24"/>
          <w:rtl w:val="0"/>
        </w:rPr>
        <w:br/>
      </w:r>
      <w:r>
        <w:br w:type="page" w:clear="all"/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6"/>
          <w:szCs w:val="26"/>
        </w:rPr>
      </w:pPr>
      <w:r/>
      <w:hyperlink r:id="rId57" w:tooltip="https://applealmondrealty.com/posts/16827" w:history="1">
        <w:r>
          <w:rPr>
            <w:rFonts w:ascii="DFKai-SB" w:hAnsi="DFKai-SB" w:eastAsia="DFKai-SB" w:cs="DFKai-SB"/>
            <w:color w:val="1155cc"/>
            <w:sz w:val="24"/>
            <w:szCs w:val="24"/>
            <w:u w:val="single"/>
            <w:rtl w:val="0"/>
          </w:rPr>
          <w:t xml:space="preserve">2023 年 2 月信義房價指數（大台北指數）歷年房價走勢圖 - 果仁家 - 買房賣房 / 居家生活知識家</w:t>
        </w:r>
      </w:hyperlink>
      <w:r>
        <w:rPr>
          <w:rFonts w:ascii="DFKai-SB" w:hAnsi="DFKai-SB" w:eastAsia="DFKai-SB" w:cs="DFKai-SB"/>
          <w:sz w:val="24"/>
          <w:szCs w:val="24"/>
          <w:rtl w:val="0"/>
        </w:rPr>
        <w:t xml:space="preserve">(台北房價走勢圖)</w:t>
        <w:br/>
      </w:r>
      <w:hyperlink r:id="rId58" w:tooltip="https://www.housefeel.com.tw/article/%e4%bd%a0%e7%9f%a5%e9%81%93%e6%88%bf%e5%b8%82%e6%ba%ab%e5%ba%a6%e8%a8%88%ef%bc%8c329%e3%80%81520%e3%80%81928%e6%aa%94%e6%9c%9f%e5%97%8e%ef%bc%9f/" w:history="1">
        <w:r>
          <w:rPr>
            <w:color w:val="0563c1"/>
            <w:u w:val="single"/>
            <w:rtl w:val="0"/>
          </w:rPr>
          <w:t xml:space="preserve">房市檔期是什麼？329檔期？520檔期？928檔期？ - HouseFeel 房感</w:t>
        </w:r>
      </w:hyperlink>
      <w:r>
        <w:rPr>
          <w:rFonts w:ascii="DFKai-SB" w:hAnsi="DFKai-SB" w:eastAsia="DFKai-SB" w:cs="DFKai-SB"/>
          <w:sz w:val="26"/>
          <w:szCs w:val="26"/>
        </w:rPr>
      </w:r>
      <w:r>
        <w:rPr>
          <w:rFonts w:ascii="DFKai-SB" w:hAnsi="DFKai-SB" w:eastAsia="DFKai-SB" w:cs="DFKai-SB"/>
          <w:sz w:val="26"/>
          <w:szCs w:val="26"/>
        </w:rPr>
      </w:r>
    </w:p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hyperlink r:id="rId59" w:tooltip="https://www.great-home.com.tw/News/Detail.aspx?Num=4246" w:history="1">
        <w:r>
          <w:rPr>
            <w:color w:val="0563c1"/>
            <w:u w:val="single"/>
            <w:rtl w:val="0"/>
          </w:rPr>
          <w:t xml:space="preserve">329、520、928房市檔期是什麼？推薦透過3大檔期掌握購屋時機！ - 大家房屋網</w:t>
        </w:r>
      </w:hyperlink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hyperlink r:id="rId60" w:tooltip="https://buy.u-trust.com.tw/" w:history="1">
        <w:r>
          <w:rPr>
            <w:rFonts w:ascii="DFKai-SB" w:hAnsi="DFKai-SB" w:eastAsia="DFKai-SB" w:cs="DFKai-SB"/>
            <w:color w:val="1155cc"/>
            <w:sz w:val="24"/>
            <w:szCs w:val="24"/>
            <w:u w:val="single"/>
            <w:rtl w:val="0"/>
          </w:rPr>
          <w:t xml:space="preserve">https://buy.u-trust.com.tw/</w:t>
        </w:r>
      </w:hyperlink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各房仲網網址: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widowControl w:val="false"/>
        <w:pBdr/>
        <w:spacing w:line="360" w:lineRule="auto"/>
        <w:ind/>
        <w:rPr>
          <w:color w:val="0563c1"/>
          <w:u w:val="single"/>
        </w:rPr>
      </w:pPr>
      <w:r>
        <w:rPr>
          <w:rtl w:val="0"/>
        </w:rPr>
      </w:r>
      <w:r>
        <w:rPr>
          <w:color w:val="0563c1"/>
          <w:u w:val="single"/>
        </w:rPr>
      </w:r>
      <w:r>
        <w:rPr>
          <w:color w:val="0563c1"/>
          <w:u w:val="single"/>
        </w:rPr>
      </w:r>
    </w:p>
    <w:tbl>
      <w:tblPr>
        <w:tblStyle w:val="993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2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color w:val="0563c1"/>
                <w:u w:val="single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信義房屋:</w:t>
            </w:r>
            <w:r>
              <w:rPr>
                <w:color w:val="0563c1"/>
                <w:u w:val="single"/>
              </w:rPr>
            </w:r>
            <w:r>
              <w:rPr>
                <w:color w:val="0563c1"/>
                <w:u w:val="single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hyperlink r:id="rId61" w:tooltip="https://www.sinyi.com.tw/buy/list?gad_source=1&amp;gclid=CjwKCAiAmrS7BhBJEiwAei59i2HM50e_wpi8tTmeqS2iXM2UtIZ5orRcU7GyTQ_P9CvRE6ronroWuxoC3iUQAvD_BwE" w:history="1">
        <w:r>
          <w:rPr>
            <w:color w:val="0563c1"/>
            <w:u w:val="single"/>
            <w:rtl w:val="0"/>
          </w:rPr>
          <w:t xml:space="preserve">https://www.sinyi.com.tw/buy/list?gad_source=1&amp;gclid=CjwKCAiAmrS7BhBJEiwAei59i2HM50e_wpi8tTmeqS2iXM2UtIZ5orRcU7GyTQ_P9CvRE6ronroWuxoC3iUQAvD_BwE</w:t>
        </w:r>
      </w:hyperlink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tbl>
      <w:tblPr>
        <w:tblStyle w:val="994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3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永慶房屋: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hyperlink r:id="rId62" w:tooltip="https://buy.yungching.com.tw/list/%E5%8F%B0%E5%8C%97%E5%B8%82-_c/pricereduction_filter?utm_source=google&amp;utm_medium=cpc&amp;utm_content=dr_brand&amp;gad_source=1&amp;gclid=CjwKCAiAmrS7BhBJEiwAei59i-uytFpLdvkeOAM1oeswUmM82gH30xFfL8E4-dzTAWWNO3SZXueRFhoCLjIQAvD_BwE" w:history="1">
        <w:r>
          <w:rPr>
            <w:color w:val="0563c1"/>
            <w:u w:val="single"/>
            <w:rtl w:val="0"/>
          </w:rPr>
          <w:t xml:space="preserve">https://buy.yungching.com.tw/list/%E5%8F%B0%E5%8C%97%E5%B8%82-_c/pricereduction_filter?utm_source=google&amp;utm_medium=cpc&amp;utm_content=dr_brand&amp;gad_source=1&amp;gclid=CjwKCAiAmrS7BhBJEiwAei59i-uytFpLdvkeOAM1oeswUmM82gH30xFfL8E4-dzTAWWNO3SZXueRFhoCLjIQAvD_BwE</w:t>
        </w:r>
      </w:hyperlink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tbl>
      <w:tblPr>
        <w:tblStyle w:val="995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4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台灣房仲網: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hyperlink r:id="rId63" w:tooltip="https://www.houseol.com.tw/" w:history="1">
        <w:r>
          <w:rPr>
            <w:color w:val="0563c1"/>
            <w:u w:val="single"/>
            <w:rtl w:val="0"/>
          </w:rPr>
          <w:t xml:space="preserve">https://www.houseol.com.tw/</w:t>
        </w:r>
      </w:hyperlink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tbl>
      <w:tblPr>
        <w:tblStyle w:val="996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5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有巢氏: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64" w:tooltip="https://buy.u-trust.com.tw/" w:history="1">
        <w:r>
          <w:rPr>
            <w:color w:val="0563c1"/>
            <w:u w:val="single"/>
            <w:rtl w:val="0"/>
          </w:rPr>
          <w:t xml:space="preserve">https://buy.u-trust.com.tw/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中信房屋: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65" w:tooltip="https://buy.cthouse.com.tw/area/%E8%87%BA%E5%8C%97%E5%B8%82-city/" w:history="1">
        <w:r>
          <w:rPr>
            <w:color w:val="0563c1"/>
            <w:u w:val="single"/>
            <w:rtl w:val="0"/>
          </w:rPr>
          <w:t xml:space="preserve">https://buy.cthouse.com.tw/area/%E8%87%BA%E5%8C%97%E5%B8%82-city/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tbl>
      <w:tblPr>
        <w:tblStyle w:val="997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6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住商不動產: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66" w:tooltip="https://www.hbhousing.com.tw/" w:history="1">
        <w:r>
          <w:rPr>
            <w:color w:val="0563c1"/>
            <w:u w:val="single"/>
            <w:rtl w:val="0"/>
          </w:rPr>
          <w:t xml:space="preserve">https://www.hbhousing.com.tw/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tbl>
      <w:tblPr>
        <w:tblStyle w:val="998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7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color w:val="0563c1"/>
                <w:u w:val="single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太平洋房仲網:</w:t>
            </w:r>
            <w:r>
              <w:rPr>
                <w:color w:val="0563c1"/>
                <w:u w:val="single"/>
              </w:rPr>
            </w:r>
            <w:r>
              <w:rPr>
                <w:color w:val="0563c1"/>
                <w:u w:val="single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67" w:tooltip="https://www.pacific.com.tw/?gad_source=1&amp;gclid=CjwKCAiAmrS7BhBJEiwAei59i5W6Wlb3eOXBvIIwQzcTdtpVA90ykfvYGdOvm0WCoDK0sxFawgNj8hoCSrYQAvD_BwE" w:history="1">
        <w:r>
          <w:rPr>
            <w:color w:val="0563c1"/>
            <w:u w:val="single"/>
            <w:rtl w:val="0"/>
          </w:rPr>
          <w:t xml:space="preserve">https://www.pacific.com.tw/?gad_source=1&amp;gclid=CjwKCAiAmrS7BhBJEiwAei59i5W6Wlb3eOXBvIIwQzcTdtpVA90ykfvYGdOvm0WCoDK0sxFawgNj8hoCSrYQAvD_BwE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tbl>
      <w:tblPr>
        <w:tblStyle w:val="999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8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好房網: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68" w:tooltip="https://buy.housefun.com.tw/" w:history="1">
        <w:r>
          <w:rPr>
            <w:color w:val="0563c1"/>
            <w:u w:val="single"/>
            <w:rtl w:val="0"/>
          </w:rPr>
          <w:t xml:space="preserve">https://buy.housefun.com.tw/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tbl>
      <w:tblPr>
        <w:tblStyle w:val="1000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9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樂屋網: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69" w:tooltip="https://www.rakuya.com.tw/sell/result" w:history="1">
        <w:r>
          <w:rPr>
            <w:color w:val="0563c1"/>
            <w:u w:val="single"/>
            <w:rtl w:val="0"/>
          </w:rPr>
          <w:t xml:space="preserve">https://www.rakuya.com.tw/sell/result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tbl>
      <w:tblPr>
        <w:tblStyle w:val="1001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10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color w:val="0563c1"/>
                <w:u w:val="single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台慶不動產:</w:t>
            </w:r>
            <w:r>
              <w:rPr>
                <w:color w:val="0563c1"/>
                <w:u w:val="single"/>
              </w:rPr>
            </w:r>
            <w:r>
              <w:rPr>
                <w:color w:val="0563c1"/>
                <w:u w:val="single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70" w:tooltip="https://buy.taiching.com.tw/" w:history="1">
        <w:r>
          <w:rPr>
            <w:color w:val="0563c1"/>
            <w:u w:val="single"/>
            <w:rtl w:val="0"/>
          </w:rPr>
          <w:t xml:space="preserve">https://buy.taiching.com.tw/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4" w:orient="portrait" w:w="11909"/>
      <w:pgMar w:top="1440" w:right="1440" w:bottom="1440" w:left="1440" w:header="720" w:footer="720" w:gutter="0"/>
      <w:pgNumType w:start="1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ambria Math">
    <w:panose1 w:val="02040503050406030204"/>
  </w:font>
  <w:font w:name="標楷體">
    <w:panose1 w:val="03000509000000000000"/>
  </w:font>
  <w:font w:name="DFKai-SB">
    <w:panose1 w:val="03000509000000000000"/>
  </w:font>
  <w:font w:name="Symbol">
    <w:panose1 w:val="05050102010706020507"/>
  </w:font>
  <w:font w:name="Wingdings">
    <w:panose1 w:val="05000000000000000000"/>
  </w:font>
  <w:font w:name="Noto Sans Symbols">
    <w:panose1 w:val="05040102010807070707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jc w:val="right"/>
      <w:rPr/>
    </w:pPr>
    <w:r>
      <w:fldChar w:fldCharType="begin"/>
      <w:instrText xml:space="preserve">PAGE</w:instrText>
      <w:fldChar w:fldCharType="separate"/>
      <w:fldChar w:fldCharType="end"/>
    </w:r>
    <w:r>
      <w:rPr>
        <w:rtl w:val="0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w:rPr>
        <w:rtl w:val="0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w:rPr>
        <w:rtl w:val="0"/>
      </w:rPr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w:rPr>
        <w:rtl w:val="0"/>
      </w:rPr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●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648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7200"/>
      </w:pPr>
      <w:rPr>
        <w:u w:val="none"/>
      </w:rPr>
      <w:start w:val="1"/>
      <w:suff w:val="tab"/>
    </w:lvl>
  </w:abstractNum>
  <w:abstractNum w:abstractNumId="1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08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80" w:left="16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80" w:left="2640"/>
      </w:pPr>
      <w:rPr/>
      <w:start w:val="1"/>
      <w:suff w:val="tab"/>
    </w:lvl>
    <w:lvl w:ilvl="4">
      <w:isLgl w:val="false"/>
      <w:lvlJc w:val="left"/>
      <w:lvlText w:val="%5、"/>
      <w:numFmt w:val="decimal"/>
      <w:pPr>
        <w:pBdr/>
        <w:spacing/>
        <w:ind w:hanging="480" w:left="31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80" w:left="360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80" w:left="4080"/>
      </w:pPr>
      <w:rPr/>
      <w:start w:val="1"/>
      <w:suff w:val="tab"/>
    </w:lvl>
    <w:lvl w:ilvl="7">
      <w:isLgl w:val="false"/>
      <w:lvlJc w:val="left"/>
      <w:lvlText w:val="%8、"/>
      <w:numFmt w:val="decimal"/>
      <w:pPr>
        <w:pBdr/>
        <w:spacing/>
        <w:ind w:hanging="480" w:left="45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80" w:left="5040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5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6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80" w:left="9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8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80" w:left="1920"/>
      </w:pPr>
      <w:rPr/>
      <w:start w:val="1"/>
      <w:suff w:val="tab"/>
    </w:lvl>
    <w:lvl w:ilvl="4">
      <w:isLgl w:val="false"/>
      <w:lvlJc w:val="left"/>
      <w:lvlText w:val="%5、"/>
      <w:numFmt w:val="decimal"/>
      <w:pPr>
        <w:pBdr/>
        <w:spacing/>
        <w:ind w:hanging="480" w:left="24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80" w:left="28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80" w:left="3360"/>
      </w:pPr>
      <w:rPr/>
      <w:start w:val="1"/>
      <w:suff w:val="tab"/>
    </w:lvl>
    <w:lvl w:ilvl="7">
      <w:isLgl w:val="false"/>
      <w:lvlJc w:val="left"/>
      <w:lvlText w:val="%8、"/>
      <w:numFmt w:val="decimal"/>
      <w:pPr>
        <w:pBdr/>
        <w:spacing/>
        <w:ind w:hanging="480" w:left="384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80" w:left="432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80" w:left="9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8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80" w:left="1920"/>
      </w:pPr>
      <w:rPr/>
      <w:start w:val="1"/>
      <w:suff w:val="tab"/>
    </w:lvl>
    <w:lvl w:ilvl="4">
      <w:isLgl w:val="false"/>
      <w:lvlJc w:val="left"/>
      <w:lvlText w:val="%5、"/>
      <w:numFmt w:val="decimal"/>
      <w:pPr>
        <w:pBdr/>
        <w:spacing/>
        <w:ind w:hanging="480" w:left="24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80" w:left="28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80" w:left="3360"/>
      </w:pPr>
      <w:rPr/>
      <w:start w:val="1"/>
      <w:suff w:val="tab"/>
    </w:lvl>
    <w:lvl w:ilvl="7">
      <w:isLgl w:val="false"/>
      <w:lvlJc w:val="left"/>
      <w:lvlText w:val="%8、"/>
      <w:numFmt w:val="decimal"/>
      <w:pPr>
        <w:pBdr/>
        <w:spacing/>
        <w:ind w:hanging="480" w:left="384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80" w:left="432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216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3">
      <w:isLgl w:val="false"/>
      <w:lvlJc w:val="left"/>
      <w:lvlText w:val="▪"/>
      <w:numFmt w:val="bullet"/>
      <w:pPr>
        <w:pBdr/>
        <w:spacing/>
        <w:ind w:hanging="360" w:left="288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4">
      <w:isLgl w:val="false"/>
      <w:lvlJc w:val="left"/>
      <w:lvlText w:val="▪"/>
      <w:numFmt w:val="bullet"/>
      <w:pPr>
        <w:pBdr/>
        <w:spacing/>
        <w:ind w:hanging="360" w:left="360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432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6">
      <w:isLgl w:val="false"/>
      <w:lvlJc w:val="left"/>
      <w:lvlText w:val="▪"/>
      <w:numFmt w:val="bullet"/>
      <w:pPr>
        <w:pBdr/>
        <w:spacing/>
        <w:ind w:hanging="360" w:left="504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7">
      <w:isLgl w:val="false"/>
      <w:lvlJc w:val="left"/>
      <w:lvlText w:val="▪"/>
      <w:numFmt w:val="bullet"/>
      <w:pPr>
        <w:pBdr/>
        <w:spacing/>
        <w:ind w:hanging="360" w:left="576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648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16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7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8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9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0">
    <w:lvl w:ilvl="0">
      <w:isLgl w:val="false"/>
      <w:lvlJc w:val="righ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1">
    <w:lvl w:ilvl="0">
      <w:isLgl w:val="false"/>
      <w:lvlJc w:val="left"/>
      <w:lvlText w:val="●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648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7200"/>
      </w:pPr>
      <w:rPr>
        <w:u w:val="none"/>
      </w:rPr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3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360" w:left="144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6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432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648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7200"/>
      </w:pPr>
      <w:rPr/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27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216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3">
      <w:isLgl w:val="false"/>
      <w:lvlJc w:val="left"/>
      <w:lvlText w:val="▪"/>
      <w:numFmt w:val="bullet"/>
      <w:pPr>
        <w:pBdr/>
        <w:spacing/>
        <w:ind w:hanging="360" w:left="288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4">
      <w:isLgl w:val="false"/>
      <w:lvlJc w:val="left"/>
      <w:lvlText w:val="▪"/>
      <w:numFmt w:val="bullet"/>
      <w:pPr>
        <w:pBdr/>
        <w:spacing/>
        <w:ind w:hanging="360" w:left="360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432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6">
      <w:isLgl w:val="false"/>
      <w:lvlJc w:val="left"/>
      <w:lvlText w:val="▪"/>
      <w:numFmt w:val="bullet"/>
      <w:pPr>
        <w:pBdr/>
        <w:spacing/>
        <w:ind w:hanging="360" w:left="504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7">
      <w:isLgl w:val="false"/>
      <w:lvlJc w:val="left"/>
      <w:lvlText w:val="▪"/>
      <w:numFmt w:val="bullet"/>
      <w:pPr>
        <w:pBdr/>
        <w:spacing/>
        <w:ind w:hanging="360" w:left="576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648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30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1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2">
    <w:lvl w:ilvl="0">
      <w:isLgl w:val="false"/>
      <w:lvlJc w:val="righ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108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80" w:left="16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80" w:left="2640"/>
      </w:pPr>
      <w:rPr/>
      <w:start w:val="1"/>
      <w:suff w:val="tab"/>
    </w:lvl>
    <w:lvl w:ilvl="4">
      <w:isLgl w:val="false"/>
      <w:lvlJc w:val="left"/>
      <w:lvlText w:val="%5、"/>
      <w:numFmt w:val="decimal"/>
      <w:pPr>
        <w:pBdr/>
        <w:spacing/>
        <w:ind w:hanging="480" w:left="31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80" w:left="360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80" w:left="4080"/>
      </w:pPr>
      <w:rPr/>
      <w:start w:val="1"/>
      <w:suff w:val="tab"/>
    </w:lvl>
    <w:lvl w:ilvl="7">
      <w:isLgl w:val="false"/>
      <w:lvlJc w:val="left"/>
      <w:lvlText w:val="%8、"/>
      <w:numFmt w:val="decimal"/>
      <w:pPr>
        <w:pBdr/>
        <w:spacing/>
        <w:ind w:hanging="480" w:left="45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80" w:left="5040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80" w:left="9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8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80" w:left="1920"/>
      </w:pPr>
      <w:rPr/>
      <w:start w:val="1"/>
      <w:suff w:val="tab"/>
    </w:lvl>
    <w:lvl w:ilvl="4">
      <w:isLgl w:val="false"/>
      <w:lvlJc w:val="left"/>
      <w:lvlText w:val="%5、"/>
      <w:numFmt w:val="decimal"/>
      <w:pPr>
        <w:pBdr/>
        <w:spacing/>
        <w:ind w:hanging="480" w:left="24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80" w:left="28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80" w:left="3360"/>
      </w:pPr>
      <w:rPr/>
      <w:start w:val="1"/>
      <w:suff w:val="tab"/>
    </w:lvl>
    <w:lvl w:ilvl="7">
      <w:isLgl w:val="false"/>
      <w:lvlJc w:val="left"/>
      <w:lvlText w:val="%8、"/>
      <w:numFmt w:val="decimal"/>
      <w:pPr>
        <w:pBdr/>
        <w:spacing/>
        <w:ind w:hanging="480" w:left="384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80" w:left="4320"/>
      </w:pPr>
      <w:rPr/>
      <w:start w:val="1"/>
      <w:suff w:val="tab"/>
    </w:lvl>
  </w:abstractNum>
  <w:abstractNum w:abstractNumId="35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6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8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0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2">
    <w:lvl w:ilvl="0">
      <w:isLgl w:val="false"/>
      <w:lvlJc w:val="left"/>
      <w:lvlText w:val="–"/>
      <w:numFmt w:val="bullet"/>
      <w:pPr>
        <w:pBdr/>
        <w:spacing/>
        <w:ind w:hanging="360" w:left="213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85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357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429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501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73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645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717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89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%1."/>
      <w:numFmt w:val="decimal"/>
      <w:pPr>
        <w:pBdr/>
        <w:spacing/>
        <w:ind w:hanging="360" w:left="108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80" w:left="16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80" w:left="2640"/>
      </w:pPr>
      <w:rPr/>
      <w:start w:val="1"/>
      <w:suff w:val="tab"/>
    </w:lvl>
    <w:lvl w:ilvl="4">
      <w:isLgl w:val="false"/>
      <w:lvlJc w:val="left"/>
      <w:lvlText w:val="%5、"/>
      <w:numFmt w:val="decimal"/>
      <w:pPr>
        <w:pBdr/>
        <w:spacing/>
        <w:ind w:hanging="480" w:left="31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80" w:left="360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80" w:left="4080"/>
      </w:pPr>
      <w:rPr/>
      <w:start w:val="1"/>
      <w:suff w:val="tab"/>
    </w:lvl>
    <w:lvl w:ilvl="7">
      <w:isLgl w:val="false"/>
      <w:lvlJc w:val="left"/>
      <w:lvlText w:val="%8、"/>
      <w:numFmt w:val="decimal"/>
      <w:pPr>
        <w:pBdr/>
        <w:spacing/>
        <w:ind w:hanging="480" w:left="45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80" w:left="5040"/>
      </w:pPr>
      <w:rPr/>
      <w:start w:val="1"/>
      <w:suff w:val="tab"/>
    </w:lvl>
  </w:abstractNum>
  <w:abstractNum w:abstractNumId="44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45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zh-TW" w:eastAsia="zh-CN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0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Table Grid"/>
    <w:basedOn w:val="80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Table Grid Light"/>
    <w:basedOn w:val="80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Plain Table 1"/>
    <w:basedOn w:val="80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Plain Table 2"/>
    <w:basedOn w:val="80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Plain Table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Plain Table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Plain Table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1 Light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1 Light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1 Light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1 Light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1 Light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1 Light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1 Light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2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2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2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2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2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2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3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3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3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3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3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3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4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4 - Accent 1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4 - Accent 2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4 - Accent 3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4 - Accent 4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4 - Accent 5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4 - Accent 6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5 Dark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5 Dark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5 Dark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5 Dark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5 Dark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5 Dark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5 Dark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6 Colorful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6 Colorful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6 Colorful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6 Colorful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6 Colorful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6 Colorful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6 Colorful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7 Colorful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7 Colorful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7 Colorful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7 Colorful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7 Colorful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7 Colorful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7 Colorful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1 Light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1 Light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1 Light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1 Light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1 Light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1 Light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1 Light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2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2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2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2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2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2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3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3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3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3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3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3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4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4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4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4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4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4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5 Dark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5 Dark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5 Dark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5 Dark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5 Dark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5 Dark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5 Dark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6 Colorful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6 Colorful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6 Colorful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6 Colorful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6 Colorful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6 Colorful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6 Colorful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7 Colorful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7 Colorful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7 Colorful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7 Colorful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7 Colorful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7 Colorful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7 Colorful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ned - Accent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ned - Accent 1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ned - Accent 2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ned - Accent 3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ned - Accent 4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ned - Accent 5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ned - Accent 6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Bordered &amp; Lined - Accent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Bordered &amp; Lined - Accent 1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Bordered &amp; Lined - Accent 2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Bordered &amp; Lined - Accent 3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 &amp; Lined - Accent 4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 &amp; Lined - Accent 5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&amp; Lined - Accent 6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Bordered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4">
    <w:name w:val="Heading 7"/>
    <w:basedOn w:val="978"/>
    <w:next w:val="978"/>
    <w:link w:val="94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35">
    <w:name w:val="Heading 8"/>
    <w:basedOn w:val="978"/>
    <w:next w:val="978"/>
    <w:link w:val="94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36">
    <w:name w:val="Heading 9"/>
    <w:basedOn w:val="978"/>
    <w:next w:val="978"/>
    <w:link w:val="94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37" w:default="1">
    <w:name w:val="Default Paragraph Font"/>
    <w:uiPriority w:val="1"/>
    <w:semiHidden/>
    <w:unhideWhenUsed/>
    <w:pPr>
      <w:pBdr/>
      <w:spacing/>
      <w:ind/>
    </w:pPr>
  </w:style>
  <w:style w:type="numbering" w:styleId="938" w:default="1">
    <w:name w:val="No List"/>
    <w:uiPriority w:val="99"/>
    <w:semiHidden/>
    <w:unhideWhenUsed/>
    <w:pPr>
      <w:pBdr/>
      <w:spacing/>
      <w:ind/>
    </w:pPr>
  </w:style>
  <w:style w:type="character" w:styleId="939">
    <w:name w:val="Heading 1 Char"/>
    <w:basedOn w:val="937"/>
    <w:link w:val="98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40">
    <w:name w:val="Heading 2 Char"/>
    <w:basedOn w:val="937"/>
    <w:link w:val="98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41">
    <w:name w:val="Heading 3 Char"/>
    <w:basedOn w:val="937"/>
    <w:link w:val="98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42">
    <w:name w:val="Heading 4 Char"/>
    <w:basedOn w:val="937"/>
    <w:link w:val="98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43">
    <w:name w:val="Heading 5 Char"/>
    <w:basedOn w:val="937"/>
    <w:link w:val="98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44">
    <w:name w:val="Heading 6 Char"/>
    <w:basedOn w:val="937"/>
    <w:link w:val="98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45">
    <w:name w:val="Heading 7 Char"/>
    <w:basedOn w:val="937"/>
    <w:link w:val="93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46">
    <w:name w:val="Heading 8 Char"/>
    <w:basedOn w:val="937"/>
    <w:link w:val="93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47">
    <w:name w:val="Heading 9 Char"/>
    <w:basedOn w:val="937"/>
    <w:link w:val="93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48">
    <w:name w:val="Title Char"/>
    <w:basedOn w:val="937"/>
    <w:link w:val="98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949">
    <w:name w:val="Subtitle Char"/>
    <w:basedOn w:val="937"/>
    <w:link w:val="98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50">
    <w:name w:val="Quote"/>
    <w:basedOn w:val="978"/>
    <w:next w:val="978"/>
    <w:link w:val="95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51">
    <w:name w:val="Quote Char"/>
    <w:basedOn w:val="937"/>
    <w:link w:val="950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952">
    <w:name w:val="List Paragraph"/>
    <w:basedOn w:val="978"/>
    <w:uiPriority w:val="34"/>
    <w:qFormat/>
    <w:pPr>
      <w:pBdr/>
      <w:spacing/>
      <w:ind w:left="720"/>
      <w:contextualSpacing w:val="true"/>
    </w:pPr>
  </w:style>
  <w:style w:type="character" w:styleId="953">
    <w:name w:val="Intense Emphasis"/>
    <w:basedOn w:val="93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54">
    <w:name w:val="Intense Quote"/>
    <w:basedOn w:val="978"/>
    <w:next w:val="978"/>
    <w:link w:val="955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55">
    <w:name w:val="Intense Quote Char"/>
    <w:basedOn w:val="937"/>
    <w:link w:val="954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56">
    <w:name w:val="Intense Reference"/>
    <w:basedOn w:val="93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57">
    <w:name w:val="No Spacing"/>
    <w:basedOn w:val="978"/>
    <w:uiPriority w:val="1"/>
    <w:qFormat/>
    <w:pPr>
      <w:pBdr/>
      <w:spacing w:after="0" w:line="240" w:lineRule="auto"/>
      <w:ind/>
    </w:pPr>
  </w:style>
  <w:style w:type="character" w:styleId="958">
    <w:name w:val="Subtle Emphasis"/>
    <w:basedOn w:val="93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59">
    <w:name w:val="Emphasis"/>
    <w:basedOn w:val="937"/>
    <w:uiPriority w:val="20"/>
    <w:qFormat/>
    <w:pPr>
      <w:pBdr/>
      <w:spacing/>
      <w:ind/>
    </w:pPr>
    <w:rPr>
      <w:i/>
      <w:iCs/>
    </w:rPr>
  </w:style>
  <w:style w:type="character" w:styleId="960">
    <w:name w:val="Strong"/>
    <w:basedOn w:val="937"/>
    <w:uiPriority w:val="22"/>
    <w:qFormat/>
    <w:pPr>
      <w:pBdr/>
      <w:spacing/>
      <w:ind/>
    </w:pPr>
    <w:rPr>
      <w:b/>
      <w:bCs/>
    </w:rPr>
  </w:style>
  <w:style w:type="character" w:styleId="961">
    <w:name w:val="Subtle Reference"/>
    <w:basedOn w:val="93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62">
    <w:name w:val="Book Title"/>
    <w:basedOn w:val="93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63">
    <w:name w:val="Header"/>
    <w:basedOn w:val="978"/>
    <w:link w:val="964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964">
    <w:name w:val="Header Char"/>
    <w:basedOn w:val="937"/>
    <w:link w:val="963"/>
    <w:uiPriority w:val="99"/>
    <w:pPr>
      <w:pBdr/>
      <w:spacing/>
      <w:ind/>
    </w:pPr>
  </w:style>
  <w:style w:type="paragraph" w:styleId="965">
    <w:name w:val="Footer"/>
    <w:basedOn w:val="978"/>
    <w:link w:val="966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966">
    <w:name w:val="Footer Char"/>
    <w:basedOn w:val="937"/>
    <w:link w:val="965"/>
    <w:uiPriority w:val="99"/>
    <w:pPr>
      <w:pBdr/>
      <w:spacing/>
      <w:ind/>
    </w:pPr>
  </w:style>
  <w:style w:type="paragraph" w:styleId="967">
    <w:name w:val="Caption"/>
    <w:basedOn w:val="978"/>
    <w:next w:val="97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68">
    <w:name w:val="footnote text"/>
    <w:basedOn w:val="978"/>
    <w:link w:val="96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69">
    <w:name w:val="Footnote Text Char"/>
    <w:basedOn w:val="937"/>
    <w:link w:val="968"/>
    <w:uiPriority w:val="99"/>
    <w:semiHidden/>
    <w:pPr>
      <w:pBdr/>
      <w:spacing/>
      <w:ind/>
    </w:pPr>
    <w:rPr>
      <w:sz w:val="20"/>
      <w:szCs w:val="20"/>
    </w:rPr>
  </w:style>
  <w:style w:type="character" w:styleId="970">
    <w:name w:val="footnote reference"/>
    <w:basedOn w:val="937"/>
    <w:uiPriority w:val="99"/>
    <w:semiHidden/>
    <w:unhideWhenUsed/>
    <w:pPr>
      <w:pBdr/>
      <w:spacing/>
      <w:ind/>
    </w:pPr>
    <w:rPr>
      <w:vertAlign w:val="superscript"/>
    </w:rPr>
  </w:style>
  <w:style w:type="paragraph" w:styleId="971">
    <w:name w:val="endnote text"/>
    <w:basedOn w:val="978"/>
    <w:link w:val="97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72">
    <w:name w:val="Endnote Text Char"/>
    <w:basedOn w:val="937"/>
    <w:link w:val="971"/>
    <w:uiPriority w:val="99"/>
    <w:semiHidden/>
    <w:pPr>
      <w:pBdr/>
      <w:spacing/>
      <w:ind/>
    </w:pPr>
    <w:rPr>
      <w:sz w:val="20"/>
      <w:szCs w:val="20"/>
    </w:rPr>
  </w:style>
  <w:style w:type="character" w:styleId="973">
    <w:name w:val="endnote reference"/>
    <w:basedOn w:val="937"/>
    <w:uiPriority w:val="99"/>
    <w:semiHidden/>
    <w:unhideWhenUsed/>
    <w:pPr>
      <w:pBdr/>
      <w:spacing/>
      <w:ind/>
    </w:pPr>
    <w:rPr>
      <w:vertAlign w:val="superscript"/>
    </w:rPr>
  </w:style>
  <w:style w:type="character" w:styleId="974">
    <w:name w:val="Hyperlink"/>
    <w:basedOn w:val="93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75">
    <w:name w:val="FollowedHyperlink"/>
    <w:basedOn w:val="93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76">
    <w:name w:val="TOC Heading"/>
    <w:uiPriority w:val="39"/>
    <w:unhideWhenUsed/>
    <w:pPr>
      <w:pBdr/>
      <w:spacing/>
      <w:ind/>
    </w:pPr>
  </w:style>
  <w:style w:type="paragraph" w:styleId="977">
    <w:name w:val="table of figures"/>
    <w:basedOn w:val="978"/>
    <w:next w:val="978"/>
    <w:uiPriority w:val="99"/>
    <w:unhideWhenUsed/>
    <w:pPr>
      <w:pBdr/>
      <w:spacing w:after="0" w:afterAutospacing="0"/>
      <w:ind/>
    </w:pPr>
  </w:style>
  <w:style w:type="paragraph" w:styleId="978" w:default="1">
    <w:name w:val="Normal"/>
    <w:pPr>
      <w:pBdr/>
      <w:spacing/>
      <w:ind/>
    </w:pPr>
  </w:style>
  <w:style w:type="table" w:styleId="979">
    <w:name w:val="Table Normal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80">
    <w:name w:val="Heading 1"/>
    <w:basedOn w:val="978"/>
    <w:next w:val="978"/>
    <w:pPr>
      <w:keepNext w:val="true"/>
      <w:keepLines w:val="true"/>
      <w:pBdr/>
      <w:spacing w:after="120" w:before="400"/>
      <w:ind/>
    </w:pPr>
    <w:rPr>
      <w:sz w:val="40"/>
      <w:szCs w:val="40"/>
    </w:rPr>
  </w:style>
  <w:style w:type="paragraph" w:styleId="981">
    <w:name w:val="Heading 2"/>
    <w:basedOn w:val="978"/>
    <w:next w:val="978"/>
    <w:pPr>
      <w:keepNext w:val="true"/>
      <w:keepLines w:val="true"/>
      <w:pBdr/>
      <w:spacing w:after="120" w:before="360"/>
      <w:ind/>
    </w:pPr>
    <w:rPr>
      <w:sz w:val="32"/>
      <w:szCs w:val="32"/>
    </w:rPr>
  </w:style>
  <w:style w:type="paragraph" w:styleId="982">
    <w:name w:val="Heading 3"/>
    <w:basedOn w:val="978"/>
    <w:next w:val="978"/>
    <w:pPr>
      <w:keepNext w:val="true"/>
      <w:keepLines w:val="true"/>
      <w:pBdr/>
      <w:spacing w:after="80" w:before="320"/>
      <w:ind/>
    </w:pPr>
    <w:rPr>
      <w:color w:val="434343"/>
      <w:sz w:val="28"/>
      <w:szCs w:val="28"/>
    </w:rPr>
  </w:style>
  <w:style w:type="paragraph" w:styleId="983">
    <w:name w:val="Heading 4"/>
    <w:basedOn w:val="978"/>
    <w:next w:val="978"/>
    <w:pPr>
      <w:keepNext w:val="true"/>
      <w:keepLines w:val="true"/>
      <w:pBdr/>
      <w:spacing w:after="80" w:before="280"/>
      <w:ind/>
    </w:pPr>
    <w:rPr>
      <w:color w:val="666666"/>
      <w:sz w:val="24"/>
      <w:szCs w:val="24"/>
    </w:rPr>
  </w:style>
  <w:style w:type="paragraph" w:styleId="984">
    <w:name w:val="Heading 5"/>
    <w:basedOn w:val="978"/>
    <w:next w:val="978"/>
    <w:pPr>
      <w:keepNext w:val="true"/>
      <w:keepLines w:val="true"/>
      <w:pBdr/>
      <w:spacing w:after="80" w:before="240"/>
      <w:ind/>
    </w:pPr>
    <w:rPr>
      <w:color w:val="666666"/>
    </w:rPr>
  </w:style>
  <w:style w:type="paragraph" w:styleId="985">
    <w:name w:val="Heading 6"/>
    <w:basedOn w:val="978"/>
    <w:next w:val="978"/>
    <w:pPr>
      <w:keepNext w:val="true"/>
      <w:keepLines w:val="true"/>
      <w:pBdr/>
      <w:spacing w:after="80" w:before="240"/>
      <w:ind/>
    </w:pPr>
    <w:rPr>
      <w:i/>
      <w:color w:val="666666"/>
    </w:rPr>
  </w:style>
  <w:style w:type="paragraph" w:styleId="986">
    <w:name w:val="Title"/>
    <w:basedOn w:val="978"/>
    <w:next w:val="978"/>
    <w:pPr>
      <w:keepNext w:val="true"/>
      <w:keepLines w:val="true"/>
      <w:pBdr/>
      <w:spacing w:after="60"/>
      <w:ind/>
    </w:pPr>
    <w:rPr>
      <w:sz w:val="52"/>
      <w:szCs w:val="52"/>
    </w:rPr>
  </w:style>
  <w:style w:type="paragraph" w:styleId="987">
    <w:name w:val="Subtitle"/>
    <w:basedOn w:val="978"/>
    <w:next w:val="978"/>
    <w:pPr>
      <w:keepNext w:val="true"/>
      <w:keepLines w:val="true"/>
      <w:pBdr/>
      <w:spacing w:after="320"/>
      <w:ind/>
    </w:pPr>
    <w:rPr>
      <w:color w:val="666666"/>
      <w:sz w:val="30"/>
      <w:szCs w:val="30"/>
    </w:rPr>
  </w:style>
  <w:style w:type="table" w:styleId="988">
    <w:name w:val="StGen0"/>
    <w:basedOn w:val="979"/>
    <w:pPr>
      <w:pBdr/>
      <w:spacing w:line="240" w:lineRule="auto"/>
      <w:ind/>
    </w:pPr>
    <w:tblPr>
      <w:tblStyleRowBandSize w:val="1"/>
      <w:tblStyleColBandSize w:val="1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StGen1"/>
    <w:basedOn w:val="979"/>
    <w:pPr>
      <w:pBdr/>
      <w:spacing w:line="240" w:lineRule="auto"/>
      <w:ind/>
    </w:pPr>
    <w:tblPr>
      <w:tblStyleRowBandSize w:val="1"/>
      <w:tblStyleColBandSize w:val="1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StGen2"/>
    <w:basedOn w:val="979"/>
    <w:pPr>
      <w:pBdr/>
      <w:spacing w:line="240" w:lineRule="auto"/>
      <w:ind/>
    </w:pPr>
    <w:tblPr>
      <w:tblStyleRowBandSize w:val="1"/>
      <w:tblStyleColBandSize w:val="1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StGen3"/>
    <w:basedOn w:val="979"/>
    <w:pPr>
      <w:pBdr/>
      <w:spacing w:line="240" w:lineRule="auto"/>
      <w:ind/>
    </w:pPr>
    <w:tblPr>
      <w:tblStyleRowBandSize w:val="1"/>
      <w:tblStyleColBandSize w:val="1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StGen4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StGen5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StGen6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StGen7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StGen8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StGen9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StGen10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StGen11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StGen12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StGen13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hyperlink" Target="https://public.tableau.com/views/_17350963058970/1_1?:language=zh-TW&amp;publish=yes&amp;:sid=&amp;:redirect=auth&amp;:display_count=n&amp;:origin=viz_share_link" TargetMode="External"/><Relationship Id="rId57" Type="http://schemas.openxmlformats.org/officeDocument/2006/relationships/hyperlink" Target="https://applealmondrealty.com/posts/16827" TargetMode="External"/><Relationship Id="rId58" Type="http://schemas.openxmlformats.org/officeDocument/2006/relationships/hyperlink" Target="https://www.housefeel.com.tw/article/%e4%bd%a0%e7%9f%a5%e9%81%93%e6%88%bf%e5%b8%82%e6%ba%ab%e5%ba%a6%e8%a8%88%ef%bc%8c329%e3%80%81520%e3%80%81928%e6%aa%94%e6%9c%9f%e5%97%8e%ef%bc%9f/" TargetMode="External"/><Relationship Id="rId59" Type="http://schemas.openxmlformats.org/officeDocument/2006/relationships/hyperlink" Target="https://www.great-home.com.tw/News/Detail.aspx?Num=4246" TargetMode="External"/><Relationship Id="rId60" Type="http://schemas.openxmlformats.org/officeDocument/2006/relationships/hyperlink" Target="https://buy.u-trust.com.tw/" TargetMode="External"/><Relationship Id="rId61" Type="http://schemas.openxmlformats.org/officeDocument/2006/relationships/hyperlink" Target="https://www.sinyi.com.tw/buy/list?gad_source=1&amp;gclid=CjwKCAiAmrS7BhBJEiwAei59i2HM50e_wpi8tTmeqS2iXM2UtIZ5orRcU7GyTQ_P9CvRE6ronroWuxoC3iUQAvD_BwE" TargetMode="External"/><Relationship Id="rId62" Type="http://schemas.openxmlformats.org/officeDocument/2006/relationships/hyperlink" Target="https://buy.yungching.com.tw/list/%E5%8F%B0%E5%8C%97%E5%B8%82-_c/pricereduction_filter?utm_source=google&amp;utm_medium=cpc&amp;utm_content=dr_brand&amp;gad_source=1&amp;gclid=CjwKCAiAmrS7BhBJEiwAei59i-uytFpLdvkeOAM1oeswUmM82gH30xFfL8E4-dzTAWWNO3SZXueRFhoCLjIQAvD_BwE" TargetMode="External"/><Relationship Id="rId63" Type="http://schemas.openxmlformats.org/officeDocument/2006/relationships/hyperlink" Target="https://www.houseol.com.tw/" TargetMode="External"/><Relationship Id="rId64" Type="http://schemas.openxmlformats.org/officeDocument/2006/relationships/hyperlink" Target="https://buy.u-trust.com.tw/" TargetMode="External"/><Relationship Id="rId65" Type="http://schemas.openxmlformats.org/officeDocument/2006/relationships/hyperlink" Target="https://buy.cthouse.com.tw/area/%E8%87%BA%E5%8C%97%E5%B8%82-city/" TargetMode="External"/><Relationship Id="rId66" Type="http://schemas.openxmlformats.org/officeDocument/2006/relationships/hyperlink" Target="https://www.hbhousing.com.tw/" TargetMode="External"/><Relationship Id="rId67" Type="http://schemas.openxmlformats.org/officeDocument/2006/relationships/hyperlink" Target="https://www.pacific.com.tw/?gad_source=1&amp;gclid=CjwKCAiAmrS7BhBJEiwAei59i5W6Wlb3eOXBvIIwQzcTdtpVA90ykfvYGdOvm0WCoDK0sxFawgNj8hoCSrYQAvD_BwE" TargetMode="External"/><Relationship Id="rId68" Type="http://schemas.openxmlformats.org/officeDocument/2006/relationships/hyperlink" Target="https://buy.housefun.com.tw/" TargetMode="External"/><Relationship Id="rId69" Type="http://schemas.openxmlformats.org/officeDocument/2006/relationships/hyperlink" Target="https://www.rakuya.com.tw/sell/result" TargetMode="External"/><Relationship Id="rId70" Type="http://schemas.openxmlformats.org/officeDocument/2006/relationships/hyperlink" Target="https://buy.taiching.com.tw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ONLYOFFICE/8.1.0.169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9</cp:revision>
  <dcterms:modified xsi:type="dcterms:W3CDTF">2025-06-08T00:55:48Z</dcterms:modified>
</cp:coreProperties>
</file>