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Descriptive</w:t>
      </w:r>
      <w:r>
        <w:t xml:space="preserve"> </w:t>
      </w:r>
      <w:r>
        <w:t xml:space="preserve">statistics</w:t>
      </w:r>
    </w:p>
    <w:p>
      <w:pPr>
        <w:pStyle w:val="Author"/>
      </w:pPr>
      <w:r>
        <w:t xml:space="preserve">STAT218</w:t>
      </w:r>
    </w:p>
    <w:p>
      <w:pPr>
        <w:pStyle w:val="Date"/>
      </w:pPr>
      <w:r>
        <w:t xml:space="preserve">2024-02-08</w:t>
      </w:r>
    </w:p>
    <w:p>
      <w:pPr>
        <w:pStyle w:val="FirstParagraph"/>
      </w:pPr>
      <w:r>
        <w:rPr>
          <w:iCs/>
          <w:i/>
        </w:rPr>
        <w:t xml:space="preserve">Instructions: type up your answers and submit your work electronically via Gradescope. Questions with a learning outcome indicated in brackets will be evaluated for credit; other questions are provided for additional practice. You are expected to answer all questions. Note that an R project with datasets and prompts is provided on the class posit.cloud workspace. Please do not submit R codes; show only output or graphics relevant to answering the question.</w:t>
      </w:r>
    </w:p>
    <w:p>
      <w:pPr>
        <w:numPr>
          <w:ilvl w:val="0"/>
          <w:numId w:val="1001"/>
        </w:numPr>
        <w:pStyle w:val="Compact"/>
      </w:pPr>
      <w:r>
        <w:t xml:space="preserve">[L3] The</w:t>
      </w:r>
      <w:r>
        <w:t xml:space="preserve"> </w:t>
      </w:r>
      <w:r>
        <w:rPr>
          <w:rStyle w:val="VerbatimChar"/>
        </w:rPr>
        <w:t xml:space="preserve">oibiostat::frog</w:t>
      </w:r>
      <w:r>
        <w:t xml:space="preserve"> </w:t>
      </w:r>
      <w:r>
        <w:t xml:space="preserve">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(frog)</w:t>
      </w:r>
      <w:r>
        <w:br/>
      </w:r>
      <w:r>
        <w:rPr>
          <w:rStyle w:val="NormalTok"/>
        </w:rPr>
        <w:t xml:space="preserve">?oibiostat</w:t>
      </w:r>
      <w:r>
        <w:rPr>
          <w:rStyle w:val="SpecialCharTok"/>
        </w:rPr>
        <w:t xml:space="preserve">::</w:t>
      </w:r>
      <w:r>
        <w:rPr>
          <w:rStyle w:val="NormalTok"/>
        </w:rPr>
        <w:t xml:space="preserve">frog</w:t>
      </w:r>
    </w:p>
    <w:p>
      <w:pPr>
        <w:numPr>
          <w:ilvl w:val="0"/>
          <w:numId w:val="1002"/>
        </w:numPr>
      </w:pPr>
      <w:r>
        <w:t xml:space="preserve">Vu and Harrington exercise 1.8. Below are some observations from a study collecting data to analyze smoking habits of UK residents.</w:t>
      </w:r>
    </w:p>
    <w:p>
      <w:pPr>
        <w:numPr>
          <w:ilvl w:val="1"/>
          <w:numId w:val="1003"/>
        </w:numPr>
        <w:pStyle w:val="Compact"/>
      </w:pPr>
      <w:r>
        <w:t xml:space="preserve">What does each row of this table represent?</w:t>
      </w:r>
    </w:p>
    <w:p>
      <w:pPr>
        <w:numPr>
          <w:ilvl w:val="1"/>
          <w:numId w:val="1003"/>
        </w:numPr>
        <w:pStyle w:val="Compact"/>
      </w:pPr>
      <w:r>
        <w:t xml:space="preserve">How many participants were included in the study?</w:t>
      </w:r>
    </w:p>
    <w:p>
      <w:pPr>
        <w:numPr>
          <w:ilvl w:val="1"/>
          <w:numId w:val="1003"/>
        </w:numPr>
        <w:pStyle w:val="Compact"/>
      </w:pPr>
      <w:r>
        <w:t xml:space="preserve">For each variable, indicate whether it is numerical or categorical. If numerical, indicate whether it is continuous or discrete; if categorical, indicate if it is nominal or ordinal.</w:t>
      </w:r>
    </w:p>
    <w:p>
      <w:pPr>
        <w:pStyle w:val="FirstParagraph"/>
      </w:pPr>
      <w:r>
        <w:drawing>
          <wp:inline>
            <wp:extent cx="4974847" cy="1074260"/>
            <wp:effectExtent b="0" l="0" r="0" t="0"/>
            <wp:docPr descr="" title="" id="21" name="Picture"/>
            <a:graphic>
              <a:graphicData uri="http://schemas.openxmlformats.org/drawingml/2006/picture">
                <pic:pic>
                  <pic:nvPicPr>
                    <pic:cNvPr descr="img/hw2-vh1-8.png" id="22" name="Picture"/>
                    <pic:cNvPicPr>
                      <a:picLocks noChangeArrowheads="1" noChangeAspect="1"/>
                    </pic:cNvPicPr>
                  </pic:nvPicPr>
                  <pic:blipFill>
                    <a:blip r:embed="rId20"/>
                    <a:stretch>
                      <a:fillRect/>
                    </a:stretch>
                  </pic:blipFill>
                  <pic:spPr bwMode="auto">
                    <a:xfrm>
                      <a:off x="0" y="0"/>
                      <a:ext cx="4974847" cy="1074260"/>
                    </a:xfrm>
                    <a:prstGeom prst="rect">
                      <a:avLst/>
                    </a:prstGeom>
                    <a:noFill/>
                    <a:ln w="9525">
                      <a:noFill/>
                      <a:headEnd/>
                      <a:tailEnd/>
                    </a:ln>
                  </pic:spPr>
                </pic:pic>
              </a:graphicData>
            </a:graphic>
          </wp:inline>
        </w:drawing>
      </w:r>
    </w:p>
    <w:p>
      <w:pPr>
        <w:numPr>
          <w:ilvl w:val="0"/>
          <w:numId w:val="1004"/>
        </w:numPr>
      </w:pPr>
      <w:r>
        <w:t xml:space="preserve">[L2] Vu and Harrington exercise 1.17. The following scatterplot shows life expectancies and percentages of internet users for 208 countries.</w:t>
      </w:r>
    </w:p>
    <w:p>
      <w:pPr>
        <w:numPr>
          <w:ilvl w:val="1"/>
          <w:numId w:val="1005"/>
        </w:numPr>
        <w:pStyle w:val="Compact"/>
      </w:pPr>
      <w:r>
        <w:t xml:space="preserve">Describe the relationship between life expectancy and percentage of internet users. Specifically: is there an apparent association, and if so, is it positive or negative and linear or nonlinear?</w:t>
      </w:r>
    </w:p>
    <w:p>
      <w:pPr>
        <w:numPr>
          <w:ilvl w:val="1"/>
          <w:numId w:val="1005"/>
        </w:numPr>
        <w:pStyle w:val="Compact"/>
      </w:pPr>
      <w:r>
        <w:t xml:space="preserve">State a possible confounding variable that might explain this relationship and describe how the confounder might relate to both the percentage of internet users and the life expectancy of a country.</w:t>
      </w:r>
    </w:p>
    <w:p>
      <w:pPr>
        <w:numPr>
          <w:ilvl w:val="1"/>
          <w:numId w:val="1005"/>
        </w:numPr>
        <w:pStyle w:val="Compact"/>
      </w:pPr>
      <w:r>
        <w:t xml:space="preserve">Are these data experimental or observational? And if you had to guess, were they obtained by a random or nonrandom sample, and why?</w:t>
      </w:r>
    </w:p>
    <w:p>
      <w:pPr>
        <w:pStyle w:val="FirstParagraph"/>
      </w:pPr>
      <w:r>
        <w:drawing>
          <wp:inline>
            <wp:extent cx="3209991" cy="2340352"/>
            <wp:effectExtent b="0" l="0" r="0" t="0"/>
            <wp:docPr descr="" title="" id="24" name="Picture"/>
            <a:graphic>
              <a:graphicData uri="http://schemas.openxmlformats.org/drawingml/2006/picture">
                <pic:pic>
                  <pic:nvPicPr>
                    <pic:cNvPr descr="img/hw2-vh1-17.png" id="25" name="Picture"/>
                    <pic:cNvPicPr>
                      <a:picLocks noChangeArrowheads="1" noChangeAspect="1"/>
                    </pic:cNvPicPr>
                  </pic:nvPicPr>
                  <pic:blipFill>
                    <a:blip r:embed="rId23"/>
                    <a:stretch>
                      <a:fillRect/>
                    </a:stretch>
                  </pic:blipFill>
                  <pic:spPr bwMode="auto">
                    <a:xfrm>
                      <a:off x="0" y="0"/>
                      <a:ext cx="3209991" cy="2340352"/>
                    </a:xfrm>
                    <a:prstGeom prst="rect">
                      <a:avLst/>
                    </a:prstGeom>
                    <a:noFill/>
                    <a:ln w="9525">
                      <a:noFill/>
                      <a:headEnd/>
                      <a:tailEnd/>
                    </a:ln>
                  </pic:spPr>
                </pic:pic>
              </a:graphicData>
            </a:graphic>
          </wp:inline>
        </w:drawing>
      </w:r>
    </w:p>
    <w:p>
      <w:pPr>
        <w:numPr>
          <w:ilvl w:val="0"/>
          <w:numId w:val="1006"/>
        </w:numPr>
        <w:pStyle w:val="Compact"/>
      </w:pPr>
      <w:r>
        <w:t xml:space="preserve">Vu and Harrington exercise 1.28. For each of the distributions (a), (b), and (c), describe the shape and modality and identify the matching boxplot from (1), (2), and (3).</w:t>
      </w:r>
    </w:p>
    <w:p>
      <w:pPr>
        <w:pStyle w:val="FirstParagraph"/>
      </w:pPr>
      <w:r>
        <w:drawing>
          <wp:inline>
            <wp:extent cx="5334000" cy="1702340"/>
            <wp:effectExtent b="0" l="0" r="0" t="0"/>
            <wp:docPr descr="" title="" id="27" name="Picture"/>
            <a:graphic>
              <a:graphicData uri="http://schemas.openxmlformats.org/drawingml/2006/picture">
                <pic:pic>
                  <pic:nvPicPr>
                    <pic:cNvPr descr="img/hw2-vh1-28.png" id="28" name="Picture"/>
                    <pic:cNvPicPr>
                      <a:picLocks noChangeArrowheads="1" noChangeAspect="1"/>
                    </pic:cNvPicPr>
                  </pic:nvPicPr>
                  <pic:blipFill>
                    <a:blip r:embed="rId26"/>
                    <a:stretch>
                      <a:fillRect/>
                    </a:stretch>
                  </pic:blipFill>
                  <pic:spPr bwMode="auto">
                    <a:xfrm>
                      <a:off x="0" y="0"/>
                      <a:ext cx="5334000" cy="1702340"/>
                    </a:xfrm>
                    <a:prstGeom prst="rect">
                      <a:avLst/>
                    </a:prstGeom>
                    <a:noFill/>
                    <a:ln w="9525">
                      <a:noFill/>
                      <a:headEnd/>
                      <a:tailEnd/>
                    </a:ln>
                  </pic:spPr>
                </pic:pic>
              </a:graphicData>
            </a:graphic>
          </wp:inline>
        </w:drawing>
      </w:r>
    </w:p>
    <w:p>
      <w:pPr>
        <w:numPr>
          <w:ilvl w:val="0"/>
          <w:numId w:val="1007"/>
        </w:numPr>
        <w:pStyle w:val="Compact"/>
      </w:pPr>
      <w:r>
        <w:t xml:space="preserve">Vu and Harrington exercise 1.36.</w:t>
      </w:r>
    </w:p>
    <w:p>
      <w:pPr>
        <w:pStyle w:val="FirstParagraph"/>
      </w:pPr>
      <w:r>
        <w:drawing>
          <wp:inline>
            <wp:extent cx="5334000" cy="2630177"/>
            <wp:effectExtent b="0" l="0" r="0" t="0"/>
            <wp:docPr descr="" title="" id="30" name="Picture"/>
            <a:graphic>
              <a:graphicData uri="http://schemas.openxmlformats.org/drawingml/2006/picture">
                <pic:pic>
                  <pic:nvPicPr>
                    <pic:cNvPr descr="img/hw2-vh1-36.png" id="31" name="Picture"/>
                    <pic:cNvPicPr>
                      <a:picLocks noChangeArrowheads="1" noChangeAspect="1"/>
                    </pic:cNvPicPr>
                  </pic:nvPicPr>
                  <pic:blipFill>
                    <a:blip r:embed="rId29"/>
                    <a:stretch>
                      <a:fillRect/>
                    </a:stretch>
                  </pic:blipFill>
                  <pic:spPr bwMode="auto">
                    <a:xfrm>
                      <a:off x="0" y="0"/>
                      <a:ext cx="5334000" cy="2630177"/>
                    </a:xfrm>
                    <a:prstGeom prst="rect">
                      <a:avLst/>
                    </a:prstGeom>
                    <a:noFill/>
                    <a:ln w="9525">
                      <a:noFill/>
                      <a:headEnd/>
                      <a:tailEnd/>
                    </a:ln>
                  </pic:spPr>
                </pic:pic>
              </a:graphicData>
            </a:graphic>
          </wp:inline>
        </w:drawing>
      </w:r>
    </w:p>
    <w:p>
      <w:pPr>
        <w:numPr>
          <w:ilvl w:val="0"/>
          <w:numId w:val="1008"/>
        </w:numPr>
      </w:pPr>
      <w:r>
        <w:t xml:space="preserve">[L3] The</w:t>
      </w:r>
      <w:r>
        <w:t xml:space="preserve"> </w:t>
      </w:r>
      <w:r>
        <w:rPr>
          <w:rStyle w:val="VerbatimChar"/>
        </w:rPr>
        <w:t xml:space="preserve">oibiostat::yrbss</w:t>
      </w:r>
      <w:r>
        <w:t xml:space="preserve"> </w:t>
      </w:r>
      <w:r>
        <w:t xml:space="preserve">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pPr>
        <w:numPr>
          <w:ilvl w:val="1"/>
          <w:numId w:val="1009"/>
        </w:numPr>
        <w:pStyle w:val="Compact"/>
      </w:pPr>
      <w:r>
        <w:t xml:space="preserve">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pPr>
        <w:numPr>
          <w:ilvl w:val="1"/>
          <w:numId w:val="1009"/>
        </w:numPr>
        <w:pStyle w:val="Compact"/>
      </w:pPr>
      <w:r>
        <w:t xml:space="preserve">Make a bar plot showing the frequency distribution of hours of sleep on school nights. Based on the summary, what is the typical amount of sleep respondents get on school nights?</w:t>
      </w:r>
    </w:p>
    <w:p>
      <w:pPr>
        <w:numPr>
          <w:ilvl w:val="1"/>
          <w:numId w:val="1009"/>
        </w:numPr>
        <w:pStyle w:val="Compact"/>
      </w:pPr>
      <w:r>
        <w:t xml:space="preserve">Produce a tabular or graphical summary that addresses the question: do older students sleep more on school nights than younger students?</w:t>
      </w:r>
    </w:p>
    <w:p>
      <w:pPr>
        <w:numPr>
          <w:ilvl w:val="1"/>
          <w:numId w:val="1009"/>
        </w:numPr>
        <w:pStyle w:val="Compact"/>
      </w:pPr>
      <w:r>
        <w:t xml:space="preserve">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pPr>
        <w:numPr>
          <w:ilvl w:val="1"/>
          <w:numId w:val="1009"/>
        </w:numPr>
        <w:pStyle w:val="Compact"/>
      </w:pPr>
      <w:r>
        <w:t xml:space="preserve">Produce side-by-side boxplots visualizing the number of days per week that survey participants are physically active</w:t>
      </w:r>
      <w:r>
        <w:t xml:space="preserve"> </w:t>
      </w:r>
      <w:r>
        <w:rPr>
          <w:iCs/>
          <w:i/>
        </w:rPr>
        <w:t xml:space="preserve">by grade</w:t>
      </w:r>
      <w:r>
        <w:t xml:space="preserve">. Based on the graphical summary, do there appear to be differences in physical activity by grade? Explain.</w:t>
      </w:r>
    </w:p>
    <w:p>
      <w:pPr>
        <w:pStyle w:val="SourceCode"/>
      </w:pPr>
      <w:r>
        <w:rPr>
          <w:rStyle w:val="FunctionTok"/>
        </w:rPr>
        <w:t xml:space="preserve">library</w:t>
      </w:r>
      <w:r>
        <w:rPr>
          <w:rStyle w:val="NormalTok"/>
        </w:rPr>
        <w:t xml:space="preserve">(oibiostat)</w:t>
      </w:r>
      <w:r>
        <w:br/>
      </w:r>
      <w:r>
        <w:rPr>
          <w:rStyle w:val="FunctionTok"/>
        </w:rPr>
        <w:t xml:space="preserve">data</w:t>
      </w:r>
      <w:r>
        <w:rPr>
          <w:rStyle w:val="NormalTok"/>
        </w:rPr>
        <w:t xml:space="preserve">(yrbss)</w:t>
      </w:r>
      <w:r>
        <w:br/>
      </w:r>
      <w:r>
        <w:rPr>
          <w:rStyle w:val="NormalTok"/>
        </w:rPr>
        <w:t xml:space="preserve">?oibiostat</w:t>
      </w:r>
      <w:r>
        <w:rPr>
          <w:rStyle w:val="SpecialCharTok"/>
        </w:rPr>
        <w:t xml:space="preserve">::</w:t>
      </w:r>
      <w:r>
        <w:rPr>
          <w:rStyle w:val="NormalTok"/>
        </w:rPr>
        <w:t xml:space="preserve">yrbss</w:t>
      </w:r>
    </w:p>
    <w:p>
      <w:pPr>
        <w:numPr>
          <w:ilvl w:val="0"/>
          <w:numId w:val="1010"/>
        </w:numPr>
      </w:pPr>
      <w:r>
        <w:t xml:space="preserve">[L3]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pPr>
        <w:numPr>
          <w:ilvl w:val="1"/>
          <w:numId w:val="1011"/>
        </w:numPr>
        <w:pStyle w:val="Compact"/>
      </w:pPr>
      <w:r>
        <w:t xml:space="preserve">What percentage of participants have moderate anger scores?</w:t>
      </w:r>
    </w:p>
    <w:p>
      <w:pPr>
        <w:numPr>
          <w:ilvl w:val="1"/>
          <w:numId w:val="1011"/>
        </w:numPr>
        <w:pStyle w:val="Compact"/>
      </w:pPr>
      <w:r>
        <w:t xml:space="preserve">What percentage of participants who experienced a CHD event have moderate anger scores?</w:t>
      </w:r>
    </w:p>
    <w:p>
      <w:pPr>
        <w:numPr>
          <w:ilvl w:val="1"/>
          <w:numId w:val="1011"/>
        </w:numPr>
        <w:pStyle w:val="Compact"/>
      </w:pPr>
      <w:r>
        <w:t xml:space="preserve">What percentage of participants with high trait anger scores experienced a CHD event?</w:t>
      </w:r>
    </w:p>
    <w:p>
      <w:pPr>
        <w:numPr>
          <w:ilvl w:val="1"/>
          <w:numId w:val="1011"/>
        </w:numPr>
        <w:pStyle w:val="Compact"/>
      </w:pPr>
      <w:r>
        <w:t xml:space="preserve">What percentage of participants with low trait anger scores experienced a CHD event?</w:t>
      </w:r>
    </w:p>
    <w:p>
      <w:pPr>
        <w:numPr>
          <w:ilvl w:val="1"/>
          <w:numId w:val="1011"/>
        </w:numPr>
        <w:pStyle w:val="Compact"/>
      </w:pPr>
      <w:r>
        <w:t xml:space="preserve">What is the ratio of the percentages in (c) and (d)? (This is called a</w:t>
      </w:r>
      <w:r>
        <w:t xml:space="preserve"> </w:t>
      </w:r>
      <w:r>
        <w:t xml:space="preserve">“</w:t>
      </w:r>
      <w:r>
        <w:t xml:space="preserve">relative risk</w:t>
      </w:r>
      <w:r>
        <w:t xml:space="preserve">”</w:t>
      </w:r>
      <w:r>
        <w:t xml:space="preserve"> </w:t>
      </w:r>
      <w:r>
        <w:t xml:space="preserve">of CHD events.) Based on this, does it appear that the risk of a CHD event is higher in the high trait anger group?</w:t>
      </w:r>
    </w:p>
    <w:p>
      <w:pPr>
        <w:numPr>
          <w:ilvl w:val="1"/>
          <w:numId w:val="1011"/>
        </w:numPr>
        <w:pStyle w:val="Compact"/>
      </w:pPr>
      <w:r>
        <w:t xml:space="preserve">Produce a proportional bar plot that substantiates your answer in (e).</w:t>
      </w:r>
    </w:p>
    <w:p>
      <w:pPr>
        <w:pStyle w:val="FirstParagraph"/>
      </w:pPr>
      <w:r>
        <w:drawing>
          <wp:inline>
            <wp:extent cx="2857500" cy="924790"/>
            <wp:effectExtent b="0" l="0" r="0" t="0"/>
            <wp:docPr descr="" title="" id="33" name="Picture"/>
            <a:graphic>
              <a:graphicData uri="http://schemas.openxmlformats.org/drawingml/2006/picture">
                <pic:pic>
                  <pic:nvPicPr>
                    <pic:cNvPr descr="img/hw2-vh1-39.png" id="34" name="Picture"/>
                    <pic:cNvPicPr>
                      <a:picLocks noChangeArrowheads="1" noChangeAspect="1"/>
                    </pic:cNvPicPr>
                  </pic:nvPicPr>
                  <pic:blipFill>
                    <a:blip r:embed="rId32"/>
                    <a:stretch>
                      <a:fillRect/>
                    </a:stretch>
                  </pic:blipFill>
                  <pic:spPr bwMode="auto">
                    <a:xfrm>
                      <a:off x="0" y="0"/>
                      <a:ext cx="2857500" cy="92479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dcterms:created xsi:type="dcterms:W3CDTF">2024-03-15T03:55:59Z</dcterms:created>
  <dcterms:modified xsi:type="dcterms:W3CDTF">2024-03-15T03:55:59Z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2024-02-08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