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37.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Pairwise</w:t>
      </w:r>
      <w:r>
        <w:t xml:space="preserve"> </w:t>
      </w:r>
      <w:r>
        <w:t xml:space="preserve">comparisons</w:t>
      </w:r>
    </w:p>
    <w:p>
      <w:pPr>
        <w:pStyle w:val="Author"/>
      </w:pPr>
      <w:r>
        <w:t xml:space="preserve">STAT218</w:t>
      </w:r>
    </w:p>
    <w:p>
      <w:pPr>
        <w:pStyle w:val="FirstParagraph"/>
      </w:pPr>
      <w:r>
        <w:t xml:space="preserve">The objective of this lab is to learn how to perform</w:t>
      </w:r>
      <w:r>
        <w:t xml:space="preserve"> </w:t>
      </w:r>
      <w:r>
        <w:rPr>
          <w:iCs/>
          <w:i/>
        </w:rPr>
        <w:t xml:space="preserve">post-hoc</w:t>
      </w:r>
      <w:r>
        <w:t xml:space="preserve"> </w:t>
      </w:r>
      <w:r>
        <w:t xml:space="preserve">inference in the analysis of variance context in R using</w:t>
      </w:r>
      <w:r>
        <w:t xml:space="preserve"> </w:t>
      </w:r>
      <w:r>
        <w:rPr>
          <w:rStyle w:val="VerbatimChar"/>
        </w:rPr>
        <w:t xml:space="preserve">emmeans</w:t>
      </w:r>
      <w:r>
        <w:t xml:space="preserve">. You’ll reproduce an end-to-end analysis and explore a few options along the way. Your goals are:</w:t>
      </w:r>
    </w:p>
    <w:p>
      <w:pPr>
        <w:numPr>
          <w:ilvl w:val="0"/>
          <w:numId w:val="1001"/>
        </w:numPr>
        <w:pStyle w:val="Compact"/>
      </w:pPr>
      <w:r>
        <w:t xml:space="preserve">Review how to carry out a basic ANOVA</w:t>
      </w:r>
    </w:p>
    <w:p>
      <w:pPr>
        <w:numPr>
          <w:ilvl w:val="0"/>
          <w:numId w:val="1001"/>
        </w:numPr>
        <w:pStyle w:val="Compact"/>
      </w:pPr>
      <w:r>
        <w:t xml:space="preserve">Learn how to compute point and interval estimates for group means</w:t>
      </w:r>
    </w:p>
    <w:p>
      <w:pPr>
        <w:numPr>
          <w:ilvl w:val="0"/>
          <w:numId w:val="1001"/>
        </w:numPr>
        <w:pStyle w:val="Compact"/>
      </w:pPr>
      <w:r>
        <w:t xml:space="preserve">Learn how to construct intervals and carry out tests for pairwise comparisons</w:t>
      </w:r>
    </w:p>
    <w:p>
      <w:pPr>
        <w:numPr>
          <w:ilvl w:val="0"/>
          <w:numId w:val="1001"/>
        </w:numPr>
        <w:pStyle w:val="Compact"/>
      </w:pPr>
      <w:r>
        <w:t xml:space="preserve">Compare multiple correction methods</w:t>
      </w:r>
    </w:p>
    <w:bookmarkStart w:id="47" w:name="anova-with-pairwise-comparisons"/>
    <w:p>
      <w:pPr>
        <w:pStyle w:val="Heading2"/>
      </w:pPr>
      <w:r>
        <w:t xml:space="preserve">ANOVA with pairwise comparisons</w:t>
      </w:r>
    </w:p>
    <w:p>
      <w:pPr>
        <w:pStyle w:val="FirstParagraph"/>
      </w:pPr>
      <w:r>
        <w:t xml:space="preserve">We’ll use the</w:t>
      </w:r>
      <w:r>
        <w:t xml:space="preserve"> </w:t>
      </w:r>
      <w:r>
        <w:rPr>
          <w:rStyle w:val="VerbatimChar"/>
        </w:rPr>
        <w:t xml:space="preserve">longevity</w:t>
      </w:r>
      <w:r>
        <w:t xml:space="preserve"> </w:t>
      </w:r>
      <w:r>
        <w:t xml:space="preserve">data from an experiment in which lifetimes in days of mice were measured after randomly allocating one of four levels of dietary intake restriction to each mouse. Load the necessary packages and dataset by executing the commands below.</w:t>
      </w:r>
    </w:p>
    <w:p>
      <w:pPr>
        <w:pStyle w:val="SourceCode"/>
      </w:pPr>
      <w:r>
        <w:rPr>
          <w:rStyle w:val="CommentTok"/>
        </w:rPr>
        <w:t xml:space="preserve"># load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(emmeans)</w:t>
      </w:r>
      <w:r>
        <w:br/>
      </w:r>
      <w:r>
        <w:rPr>
          <w:rStyle w:val="FunctionTok"/>
        </w:rPr>
        <w:t xml:space="preserve">library</w:t>
      </w:r>
      <w:r>
        <w:rPr>
          <w:rStyle w:val="NormalTok"/>
        </w:rPr>
        <w:t xml:space="preserve">(pander)</w:t>
      </w:r>
      <w:r>
        <w:br/>
      </w:r>
      <w:r>
        <w:br/>
      </w:r>
      <w:r>
        <w:rPr>
          <w:rStyle w:val="CommentTok"/>
        </w:rPr>
        <w:t xml:space="preserve"># read in dataset and make variable names lowercase</w:t>
      </w:r>
      <w:r>
        <w:br/>
      </w:r>
      <w:r>
        <w:rPr>
          <w:rStyle w:val="NormalTok"/>
        </w:rPr>
        <w:t xml:space="preserve">longevity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'data/longevity.csv'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(tolower)</w:t>
      </w:r>
      <w:r>
        <w:br/>
      </w:r>
      <w:r>
        <w:br/>
      </w:r>
      <w:r>
        <w:rPr>
          <w:rStyle w:val="CommentTok"/>
        </w:rPr>
        <w:t xml:space="preserve"># convert grouping variable to a factor</w:t>
      </w:r>
      <w:r>
        <w:br/>
      </w:r>
      <w:r>
        <w:rPr>
          <w:rStyle w:val="NormalTok"/>
        </w:rPr>
        <w:t xml:space="preserve">longevity</w:t>
      </w:r>
      <w:r>
        <w:rPr>
          <w:rStyle w:val="SpecialCharTok"/>
        </w:rPr>
        <w:t xml:space="preserve">$</w:t>
      </w:r>
      <w:r>
        <w:rPr>
          <w:rStyle w:val="NormalTok"/>
        </w:rPr>
        <w:t xml:space="preserve">diet </w:t>
      </w:r>
      <w:r>
        <w:rPr>
          <w:rStyle w:val="OtherTok"/>
        </w:rPr>
        <w:t xml:space="preserve">&lt;-</w:t>
      </w:r>
      <w:r>
        <w:rPr>
          <w:rStyle w:val="NormalTok"/>
        </w:rPr>
        <w:t xml:space="preserve"> </w:t>
      </w:r>
      <w:r>
        <w:rPr>
          <w:rStyle w:val="FunctionTok"/>
        </w:rPr>
        <w:t xml:space="preserve">factor</w:t>
      </w:r>
      <w:r>
        <w:rPr>
          <w:rStyle w:val="NormalTok"/>
        </w:rPr>
        <w:t xml:space="preserve">(longevity</w:t>
      </w:r>
      <w:r>
        <w:rPr>
          <w:rStyle w:val="SpecialCharTok"/>
        </w:rPr>
        <w:t xml:space="preserve">$</w:t>
      </w:r>
      <w:r>
        <w:rPr>
          <w:rStyle w:val="NormalTok"/>
        </w:rPr>
        <w:t xml:space="preserve">diet,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'NP'</w:t>
      </w:r>
      <w:r>
        <w:rPr>
          <w:rStyle w:val="NormalTok"/>
        </w:rPr>
        <w:t xml:space="preserve">, </w:t>
      </w:r>
      <w:r>
        <w:rPr>
          <w:rStyle w:val="StringTok"/>
        </w:rPr>
        <w:t xml:space="preserve">'N/N85'</w:t>
      </w:r>
      <w:r>
        <w:rPr>
          <w:rStyle w:val="NormalTok"/>
        </w:rPr>
        <w:t xml:space="preserve">, </w:t>
      </w:r>
      <w:r>
        <w:br/>
      </w:r>
      <w:r>
        <w:rPr>
          <w:rStyle w:val="NormalTok"/>
        </w:rPr>
        <w:t xml:space="preserve">                                    </w:t>
      </w:r>
      <w:r>
        <w:rPr>
          <w:rStyle w:val="StringTok"/>
        </w:rPr>
        <w:t xml:space="preserve">'N/R50'</w:t>
      </w:r>
      <w:r>
        <w:rPr>
          <w:rStyle w:val="NormalTok"/>
        </w:rPr>
        <w:t xml:space="preserve">, </w:t>
      </w:r>
      <w:r>
        <w:rPr>
          <w:rStyle w:val="StringTok"/>
        </w:rPr>
        <w:t xml:space="preserve">'N/R40'</w:t>
      </w:r>
      <w:r>
        <w:rPr>
          <w:rStyle w:val="NormalTok"/>
        </w:rPr>
        <w:t xml:space="preserve">),</w:t>
      </w:r>
      <w:r>
        <w:br/>
      </w:r>
      <w:r>
        <w:rPr>
          <w:rStyle w:val="NormalTok"/>
        </w:rPr>
        <w:t xml:space="preserve">                         </w:t>
      </w:r>
      <w:r>
        <w:rPr>
          <w:rStyle w:val="AttributeTok"/>
        </w:rPr>
        <w:t xml:space="preserve">ordered =</w:t>
      </w:r>
      <w:r>
        <w:rPr>
          <w:rStyle w:val="NormalTok"/>
        </w:rPr>
        <w:t xml:space="preserve"> T)</w:t>
      </w:r>
      <w:r>
        <w:br/>
      </w:r>
      <w:r>
        <w:br/>
      </w:r>
      <w:r>
        <w:rPr>
          <w:rStyle w:val="CommentTok"/>
        </w:rPr>
        <w:t xml:space="preserve"># preview</w:t>
      </w:r>
      <w:r>
        <w:br/>
      </w:r>
      <w:r>
        <w:rPr>
          <w:rStyle w:val="FunctionTok"/>
        </w:rPr>
        <w:t xml:space="preserve">head</w:t>
      </w:r>
      <w:r>
        <w:rPr>
          <w:rStyle w:val="NormalTok"/>
        </w:rPr>
        <w:t xml:space="preserve">(longevity) </w:t>
      </w:r>
      <w:r>
        <w:rPr>
          <w:rStyle w:val="SpecialCharTok"/>
        </w:rPr>
        <w:t xml:space="preserve">|&gt;</w:t>
      </w:r>
      <w:r>
        <w:rPr>
          <w:rStyle w:val="NormalTok"/>
        </w:rPr>
        <w:t xml:space="preserve"> </w:t>
      </w:r>
      <w:r>
        <w:rPr>
          <w:rStyle w:val="FunctionTok"/>
        </w:rPr>
        <w:t xml:space="preserve">pander</w:t>
      </w:r>
      <w:r>
        <w:rPr>
          <w:rStyle w:val="NormalTok"/>
        </w:rPr>
        <w:t xml:space="preserve">()</w:t>
      </w:r>
    </w:p>
    <w:tbl>
      <w:tblPr>
        <w:tblStyle w:val="Table"/>
        <w:tblW w:type="pct" w:w="1250"/>
        <w:tblLook w:firstRow="1" w:lastRow="0" w:firstColumn="0" w:lastColumn="0" w:noHBand="0" w:noVBand="0" w:val="0020"/>
        <w:jc w:val="start"/>
        <w:tblLayout w:type="fixed"/>
      </w:tblPr>
      <w:tblGrid>
        <w:gridCol w:w="1210"/>
        <w:gridCol w:w="770"/>
      </w:tblGrid>
      <w:tr>
        <w:trPr>
          <w:tblHeader w:val="true"/>
        </w:trPr>
        <w:tc>
          <w:tcPr/>
          <w:p>
            <w:pPr>
              <w:pStyle w:val="Compact"/>
              <w:jc w:val="center"/>
            </w:pPr>
            <w:r>
              <w:t xml:space="preserve">lifetime</w:t>
            </w:r>
          </w:p>
        </w:tc>
        <w:tc>
          <w:tcPr/>
          <w:p>
            <w:pPr>
              <w:pStyle w:val="Compact"/>
              <w:jc w:val="center"/>
            </w:pPr>
            <w:r>
              <w:t xml:space="preserve">diet</w:t>
            </w:r>
          </w:p>
        </w:tc>
      </w:tr>
      <w:tr>
        <w:tc>
          <w:tcPr/>
          <w:p>
            <w:pPr>
              <w:pStyle w:val="Compact"/>
              <w:jc w:val="center"/>
            </w:pPr>
            <w:r>
              <w:t xml:space="preserve">35.5</w:t>
            </w:r>
          </w:p>
        </w:tc>
        <w:tc>
          <w:tcPr/>
          <w:p>
            <w:pPr>
              <w:pStyle w:val="Compact"/>
              <w:jc w:val="center"/>
            </w:pPr>
            <w:r>
              <w:t xml:space="preserve">NP</w:t>
            </w:r>
          </w:p>
        </w:tc>
      </w:tr>
      <w:tr>
        <w:tc>
          <w:tcPr/>
          <w:p>
            <w:pPr>
              <w:pStyle w:val="Compact"/>
              <w:jc w:val="center"/>
            </w:pPr>
            <w:r>
              <w:t xml:space="preserve">35.4</w:t>
            </w:r>
          </w:p>
        </w:tc>
        <w:tc>
          <w:tcPr/>
          <w:p>
            <w:pPr>
              <w:pStyle w:val="Compact"/>
              <w:jc w:val="center"/>
            </w:pPr>
            <w:r>
              <w:t xml:space="preserve">NP</w:t>
            </w:r>
          </w:p>
        </w:tc>
      </w:tr>
      <w:tr>
        <w:tc>
          <w:tcPr/>
          <w:p>
            <w:pPr>
              <w:pStyle w:val="Compact"/>
              <w:jc w:val="center"/>
            </w:pPr>
            <w:r>
              <w:t xml:space="preserve">34.9</w:t>
            </w:r>
          </w:p>
        </w:tc>
        <w:tc>
          <w:tcPr/>
          <w:p>
            <w:pPr>
              <w:pStyle w:val="Compact"/>
              <w:jc w:val="center"/>
            </w:pPr>
            <w:r>
              <w:t xml:space="preserve">NP</w:t>
            </w:r>
          </w:p>
        </w:tc>
      </w:tr>
      <w:tr>
        <w:tc>
          <w:tcPr/>
          <w:p>
            <w:pPr>
              <w:pStyle w:val="Compact"/>
              <w:jc w:val="center"/>
            </w:pPr>
            <w:r>
              <w:t xml:space="preserve">34.8</w:t>
            </w:r>
          </w:p>
        </w:tc>
        <w:tc>
          <w:tcPr/>
          <w:p>
            <w:pPr>
              <w:pStyle w:val="Compact"/>
              <w:jc w:val="center"/>
            </w:pPr>
            <w:r>
              <w:t xml:space="preserve">NP</w:t>
            </w:r>
          </w:p>
        </w:tc>
      </w:tr>
      <w:tr>
        <w:tc>
          <w:tcPr/>
          <w:p>
            <w:pPr>
              <w:pStyle w:val="Compact"/>
              <w:jc w:val="center"/>
            </w:pPr>
            <w:r>
              <w:t xml:space="preserve">33.8</w:t>
            </w:r>
          </w:p>
        </w:tc>
        <w:tc>
          <w:tcPr/>
          <w:p>
            <w:pPr>
              <w:pStyle w:val="Compact"/>
              <w:jc w:val="center"/>
            </w:pPr>
            <w:r>
              <w:t xml:space="preserve">NP</w:t>
            </w:r>
          </w:p>
        </w:tc>
      </w:tr>
      <w:tr>
        <w:tc>
          <w:tcPr/>
          <w:p>
            <w:pPr>
              <w:pStyle w:val="Compact"/>
              <w:jc w:val="center"/>
            </w:pPr>
            <w:r>
              <w:t xml:space="preserve">33.5</w:t>
            </w:r>
          </w:p>
        </w:tc>
        <w:tc>
          <w:tcPr/>
          <w:p>
            <w:pPr>
              <w:pStyle w:val="Compact"/>
              <w:jc w:val="center"/>
            </w:pPr>
            <w:r>
              <w:t xml:space="preserve">NP</w:t>
            </w:r>
          </w:p>
        </w:tc>
      </w:tr>
    </w:tbl>
    <w:p>
      <w:pPr>
        <w:pStyle w:val="BodyText"/>
      </w:pPr>
      <w:r>
        <w:t xml:space="preserve">You may notice that the grouping variable</w:t>
      </w:r>
      <w:r>
        <w:t xml:space="preserve"> </w:t>
      </w:r>
      <w:r>
        <w:rPr>
          <w:rStyle w:val="VerbatimChar"/>
        </w:rPr>
        <w:t xml:space="preserve">diet</w:t>
      </w:r>
      <w:r>
        <w:t xml:space="preserve"> </w:t>
      </w:r>
      <w:r>
        <w:t xml:space="preserve">was converted to an ordered factor. This is a data type in R that encodes ordinal categorical variables. It’s not absolutely necessary to include the ordering, but it will make certain tasks more streamlined, such as ordering the groups in plots or making pairwise comparisons with the control level (NP).</w:t>
      </w:r>
    </w:p>
    <w:bookmarkStart w:id="23" w:name="refresher-basic-anova"/>
    <w:p>
      <w:pPr>
        <w:pStyle w:val="Heading3"/>
      </w:pPr>
      <w:r>
        <w:t xml:space="preserve">Refresher: basic ANOVA</w:t>
      </w:r>
    </w:p>
    <w:p>
      <w:pPr>
        <w:pStyle w:val="FirstParagraph"/>
      </w:pPr>
      <w:r>
        <w:t xml:space="preserve">We’ll start by reviewing the steps of an analysis of variance:</w:t>
      </w:r>
    </w:p>
    <w:p>
      <w:pPr>
        <w:numPr>
          <w:ilvl w:val="0"/>
          <w:numId w:val="1002"/>
        </w:numPr>
        <w:pStyle w:val="Compact"/>
      </w:pPr>
      <w:r>
        <w:t xml:space="preserve">Data visualization</w:t>
      </w:r>
    </w:p>
    <w:p>
      <w:pPr>
        <w:numPr>
          <w:ilvl w:val="0"/>
          <w:numId w:val="1002"/>
        </w:numPr>
        <w:pStyle w:val="Compact"/>
      </w:pPr>
      <w:r>
        <w:t xml:space="preserve">Grouped summaries</w:t>
      </w:r>
    </w:p>
    <w:p>
      <w:pPr>
        <w:numPr>
          <w:ilvl w:val="0"/>
          <w:numId w:val="1002"/>
        </w:numPr>
        <w:pStyle w:val="Compact"/>
      </w:pPr>
      <w:r>
        <w:t xml:space="preserve">Fitting an ANOVA model and testing for a difference in group means</w:t>
      </w:r>
    </w:p>
    <w:p>
      <w:pPr>
        <w:pStyle w:val="FirstParagraph"/>
      </w:pPr>
      <w:r>
        <w:t xml:space="preserve">These are outlined below.</w:t>
      </w:r>
    </w:p>
    <w:p>
      <w:pPr>
        <w:pStyle w:val="SourceCode"/>
      </w:pPr>
      <w:r>
        <w:rPr>
          <w:rStyle w:val="CommentTok"/>
        </w:rPr>
        <w:t xml:space="preserve"># boxplot for visual group comparisons</w:t>
      </w:r>
      <w:r>
        <w:br/>
      </w:r>
      <w:r>
        <w:rPr>
          <w:rStyle w:val="FunctionTok"/>
        </w:rPr>
        <w:t xml:space="preserve">boxplot</w:t>
      </w:r>
      <w:r>
        <w:rPr>
          <w:rStyle w:val="NormalTok"/>
        </w:rPr>
        <w:t xml:space="preserve">(lifetime </w:t>
      </w:r>
      <w:r>
        <w:rPr>
          <w:rStyle w:val="SpecialCharTok"/>
        </w:rPr>
        <w:t xml:space="preserve">~</w:t>
      </w:r>
      <w:r>
        <w:rPr>
          <w:rStyle w:val="NormalTok"/>
        </w:rPr>
        <w:t xml:space="preserve"> diet, </w:t>
      </w:r>
      <w:r>
        <w:rPr>
          <w:rStyle w:val="AttributeTok"/>
        </w:rPr>
        <w:t xml:space="preserve">data =</w:t>
      </w:r>
      <w:r>
        <w:rPr>
          <w:rStyle w:val="NormalTok"/>
        </w:rPr>
        <w:t xml:space="preserve"> longevity)</w:t>
      </w:r>
    </w:p>
    <w:p>
      <w:pPr>
        <w:pStyle w:val="FirstParagraph"/>
      </w:pPr>
      <w:r>
        <w:drawing>
          <wp:inline>
            <wp:extent cx="4876800" cy="6096000"/>
            <wp:effectExtent b="0" l="0" r="0" t="0"/>
            <wp:docPr descr="" title="" id="21" name="Picture"/>
            <a:graphic>
              <a:graphicData uri="http://schemas.openxmlformats.org/drawingml/2006/picture">
                <pic:pic>
                  <pic:nvPicPr>
                    <pic:cNvPr descr="lab12-pairwise_files/figure-docx/basic%20anova-1.png" id="22" name="Picture"/>
                    <pic:cNvPicPr>
                      <a:picLocks noChangeArrowheads="1" noChangeAspect="1"/>
                    </pic:cNvPicPr>
                  </pic:nvPicPr>
                  <pic:blipFill>
                    <a:blip r:embed="rId20"/>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grouped summaries</w:t>
      </w:r>
      <w:r>
        <w:br/>
      </w:r>
      <w:r>
        <w:rPr>
          <w:rStyle w:val="NormalTok"/>
        </w:rPr>
        <w:t xml:space="preserve">longevity </w:t>
      </w:r>
      <w:r>
        <w:rPr>
          <w:rStyle w:val="SpecialCharTok"/>
        </w:rPr>
        <w:t xml:space="preserve">|&gt;</w:t>
      </w:r>
      <w:r>
        <w:br/>
      </w:r>
      <w:r>
        <w:rPr>
          <w:rStyle w:val="NormalTok"/>
        </w:rPr>
        <w:t xml:space="preserve">  </w:t>
      </w:r>
      <w:r>
        <w:rPr>
          <w:rStyle w:val="FunctionTok"/>
        </w:rPr>
        <w:t xml:space="preserve">group_by</w:t>
      </w:r>
      <w:r>
        <w:rPr>
          <w:rStyle w:val="NormalTok"/>
        </w:rPr>
        <w:t xml:space="preserve">(diet)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(lifetime),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(lifetime),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mean.se =</w:t>
      </w:r>
      <w:r>
        <w:rPr>
          <w:rStyle w:val="NormalTok"/>
        </w:rPr>
        <w:t xml:space="preserve"> sd</w:t>
      </w:r>
      <w:r>
        <w:rPr>
          <w:rStyle w:val="SpecialCharTok"/>
        </w:rPr>
        <w:t xml:space="preserve">/</w:t>
      </w:r>
      <w:r>
        <w:rPr>
          <w:rStyle w:val="FunctionTok"/>
        </w:rPr>
        <w:t xml:space="preserve">sqrt</w:t>
      </w:r>
      <w:r>
        <w:rPr>
          <w:rStyle w:val="NormalTok"/>
        </w:rPr>
        <w:t xml:space="preserve">(n)) </w:t>
      </w:r>
      <w:r>
        <w:rPr>
          <w:rStyle w:val="SpecialCharTok"/>
        </w:rPr>
        <w:t xml:space="preserve">|&gt;</w:t>
      </w:r>
      <w:r>
        <w:br/>
      </w:r>
      <w:r>
        <w:rPr>
          <w:rStyle w:val="NormalTok"/>
        </w:rPr>
        <w:t xml:space="preserve">  </w:t>
      </w:r>
      <w:r>
        <w:rPr>
          <w:rStyle w:val="FunctionTok"/>
        </w:rPr>
        <w:t xml:space="preserve">pander</w:t>
      </w:r>
      <w:r>
        <w:rPr>
          <w:rStyle w:val="NormalTok"/>
        </w:rPr>
        <w:t xml:space="preserve">()</w:t>
      </w:r>
    </w:p>
    <w:tbl>
      <w:tblPr>
        <w:tblStyle w:val="Table"/>
        <w:tblW w:type="pct" w:w="2708"/>
        <w:tblLook w:firstRow="1" w:lastRow="0" w:firstColumn="0" w:lastColumn="0" w:noHBand="0" w:noVBand="0" w:val="0020"/>
        <w:jc w:val="start"/>
        <w:tblLayout w:type="fixed"/>
      </w:tblPr>
      <w:tblGrid>
        <w:gridCol w:w="880"/>
        <w:gridCol w:w="880"/>
        <w:gridCol w:w="880"/>
        <w:gridCol w:w="550"/>
        <w:gridCol w:w="1100"/>
      </w:tblGrid>
      <w:tr>
        <w:trPr>
          <w:tblHeader w:val="true"/>
        </w:trPr>
        <w:tc>
          <w:tcPr/>
          <w:p>
            <w:pPr>
              <w:pStyle w:val="Compact"/>
              <w:jc w:val="center"/>
            </w:pPr>
            <w:r>
              <w:t xml:space="preserve">diet</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n</w:t>
            </w:r>
          </w:p>
        </w:tc>
        <w:tc>
          <w:tcPr/>
          <w:p>
            <w:pPr>
              <w:pStyle w:val="Compact"/>
              <w:jc w:val="center"/>
            </w:pPr>
            <w:r>
              <w:t xml:space="preserve">mean.se</w:t>
            </w:r>
          </w:p>
        </w:tc>
      </w:tr>
      <w:tr>
        <w:tc>
          <w:tcPr/>
          <w:p>
            <w:pPr>
              <w:pStyle w:val="Compact"/>
              <w:jc w:val="center"/>
            </w:pPr>
            <w:r>
              <w:t xml:space="preserve">NP</w:t>
            </w:r>
          </w:p>
        </w:tc>
        <w:tc>
          <w:tcPr/>
          <w:p>
            <w:pPr>
              <w:pStyle w:val="Compact"/>
              <w:jc w:val="center"/>
            </w:pPr>
            <w:r>
              <w:t xml:space="preserve">27.4</w:t>
            </w:r>
          </w:p>
        </w:tc>
        <w:tc>
          <w:tcPr/>
          <w:p>
            <w:pPr>
              <w:pStyle w:val="Compact"/>
              <w:jc w:val="center"/>
            </w:pPr>
            <w:r>
              <w:t xml:space="preserve">6.134</w:t>
            </w:r>
          </w:p>
        </w:tc>
        <w:tc>
          <w:tcPr/>
          <w:p>
            <w:pPr>
              <w:pStyle w:val="Compact"/>
              <w:jc w:val="center"/>
            </w:pPr>
            <w:r>
              <w:t xml:space="preserve">49</w:t>
            </w:r>
          </w:p>
        </w:tc>
        <w:tc>
          <w:tcPr/>
          <w:p>
            <w:pPr>
              <w:pStyle w:val="Compact"/>
              <w:jc w:val="center"/>
            </w:pPr>
            <w:r>
              <w:t xml:space="preserve">0.8762</w:t>
            </w:r>
          </w:p>
        </w:tc>
      </w:tr>
      <w:tr>
        <w:tc>
          <w:tcPr/>
          <w:p>
            <w:pPr>
              <w:pStyle w:val="Compact"/>
              <w:jc w:val="center"/>
            </w:pPr>
            <w:r>
              <w:t xml:space="preserve">N/N85</w:t>
            </w:r>
          </w:p>
        </w:tc>
        <w:tc>
          <w:tcPr/>
          <w:p>
            <w:pPr>
              <w:pStyle w:val="Compact"/>
              <w:jc w:val="center"/>
            </w:pPr>
            <w:r>
              <w:t xml:space="preserve">32.69</w:t>
            </w:r>
          </w:p>
        </w:tc>
        <w:tc>
          <w:tcPr/>
          <w:p>
            <w:pPr>
              <w:pStyle w:val="Compact"/>
              <w:jc w:val="center"/>
            </w:pPr>
            <w:r>
              <w:t xml:space="preserve">5.125</w:t>
            </w:r>
          </w:p>
        </w:tc>
        <w:tc>
          <w:tcPr/>
          <w:p>
            <w:pPr>
              <w:pStyle w:val="Compact"/>
              <w:jc w:val="center"/>
            </w:pPr>
            <w:r>
              <w:t xml:space="preserve">57</w:t>
            </w:r>
          </w:p>
        </w:tc>
        <w:tc>
          <w:tcPr/>
          <w:p>
            <w:pPr>
              <w:pStyle w:val="Compact"/>
              <w:jc w:val="center"/>
            </w:pPr>
            <w:r>
              <w:t xml:space="preserve">0.6789</w:t>
            </w:r>
          </w:p>
        </w:tc>
      </w:tr>
      <w:tr>
        <w:tc>
          <w:tcPr/>
          <w:p>
            <w:pPr>
              <w:pStyle w:val="Compact"/>
              <w:jc w:val="center"/>
            </w:pPr>
            <w:r>
              <w:t xml:space="preserve">N/R50</w:t>
            </w:r>
          </w:p>
        </w:tc>
        <w:tc>
          <w:tcPr/>
          <w:p>
            <w:pPr>
              <w:pStyle w:val="Compact"/>
              <w:jc w:val="center"/>
            </w:pPr>
            <w:r>
              <w:t xml:space="preserve">42.3</w:t>
            </w:r>
          </w:p>
        </w:tc>
        <w:tc>
          <w:tcPr/>
          <w:p>
            <w:pPr>
              <w:pStyle w:val="Compact"/>
              <w:jc w:val="center"/>
            </w:pPr>
            <w:r>
              <w:t xml:space="preserve">7.768</w:t>
            </w:r>
          </w:p>
        </w:tc>
        <w:tc>
          <w:tcPr/>
          <w:p>
            <w:pPr>
              <w:pStyle w:val="Compact"/>
              <w:jc w:val="center"/>
            </w:pPr>
            <w:r>
              <w:t xml:space="preserve">71</w:t>
            </w:r>
          </w:p>
        </w:tc>
        <w:tc>
          <w:tcPr/>
          <w:p>
            <w:pPr>
              <w:pStyle w:val="Compact"/>
              <w:jc w:val="center"/>
            </w:pPr>
            <w:r>
              <w:t xml:space="preserve">0.9219</w:t>
            </w:r>
          </w:p>
        </w:tc>
      </w:tr>
      <w:tr>
        <w:tc>
          <w:tcPr/>
          <w:p>
            <w:pPr>
              <w:pStyle w:val="Compact"/>
              <w:jc w:val="center"/>
            </w:pPr>
            <w:r>
              <w:t xml:space="preserve">N/R40</w:t>
            </w:r>
          </w:p>
        </w:tc>
        <w:tc>
          <w:tcPr/>
          <w:p>
            <w:pPr>
              <w:pStyle w:val="Compact"/>
              <w:jc w:val="center"/>
            </w:pPr>
            <w:r>
              <w:t xml:space="preserve">45.12</w:t>
            </w:r>
          </w:p>
        </w:tc>
        <w:tc>
          <w:tcPr/>
          <w:p>
            <w:pPr>
              <w:pStyle w:val="Compact"/>
              <w:jc w:val="center"/>
            </w:pPr>
            <w:r>
              <w:t xml:space="preserve">6.703</w:t>
            </w:r>
          </w:p>
        </w:tc>
        <w:tc>
          <w:tcPr/>
          <w:p>
            <w:pPr>
              <w:pStyle w:val="Compact"/>
              <w:jc w:val="center"/>
            </w:pPr>
            <w:r>
              <w:t xml:space="preserve">60</w:t>
            </w:r>
          </w:p>
        </w:tc>
        <w:tc>
          <w:tcPr/>
          <w:p>
            <w:pPr>
              <w:pStyle w:val="Compact"/>
              <w:jc w:val="center"/>
            </w:pPr>
            <w:r>
              <w:t xml:space="preserve">0.8654</w:t>
            </w:r>
          </w:p>
        </w:tc>
      </w:tr>
    </w:tbl>
    <w:p>
      <w:pPr>
        <w:pStyle w:val="SourceCode"/>
      </w:pPr>
      <w:r>
        <w:rPr>
          <w:rStyle w:val="CommentTok"/>
        </w:rPr>
        <w:t xml:space="preserve"># fit analysis of variance model</w:t>
      </w:r>
      <w:r>
        <w:br/>
      </w:r>
      <w:r>
        <w:rPr>
          <w:rStyle w:val="NormalTok"/>
        </w:rPr>
        <w:t xml:space="preserve">fit </w:t>
      </w:r>
      <w:r>
        <w:rPr>
          <w:rStyle w:val="OtherTok"/>
        </w:rPr>
        <w:t xml:space="preserve">&lt;-</w:t>
      </w:r>
      <w:r>
        <w:rPr>
          <w:rStyle w:val="NormalTok"/>
        </w:rPr>
        <w:t xml:space="preserve"> </w:t>
      </w:r>
      <w:r>
        <w:rPr>
          <w:rStyle w:val="FunctionTok"/>
        </w:rPr>
        <w:t xml:space="preserve">aov</w:t>
      </w:r>
      <w:r>
        <w:rPr>
          <w:rStyle w:val="NormalTok"/>
        </w:rPr>
        <w:t xml:space="preserve">(lifetime </w:t>
      </w:r>
      <w:r>
        <w:rPr>
          <w:rStyle w:val="SpecialCharTok"/>
        </w:rPr>
        <w:t xml:space="preserve">~</w:t>
      </w:r>
      <w:r>
        <w:rPr>
          <w:rStyle w:val="NormalTok"/>
        </w:rPr>
        <w:t xml:space="preserve"> diet, </w:t>
      </w:r>
      <w:r>
        <w:rPr>
          <w:rStyle w:val="AttributeTok"/>
        </w:rPr>
        <w:t xml:space="preserve">data =</w:t>
      </w:r>
      <w:r>
        <w:rPr>
          <w:rStyle w:val="NormalTok"/>
        </w:rPr>
        <w:t xml:space="preserve"> longevity)</w:t>
      </w:r>
      <w:r>
        <w:br/>
      </w:r>
      <w:r>
        <w:rPr>
          <w:rStyle w:val="FunctionTok"/>
        </w:rPr>
        <w:t xml:space="preserve">summary</w:t>
      </w:r>
      <w:r>
        <w:rPr>
          <w:rStyle w:val="NormalTok"/>
        </w:rPr>
        <w:t xml:space="preserve">(fit) </w:t>
      </w:r>
      <w:r>
        <w:rPr>
          <w:rStyle w:val="SpecialCharTok"/>
        </w:rPr>
        <w:t xml:space="preserve">|&gt;</w:t>
      </w:r>
      <w:r>
        <w:rPr>
          <w:rStyle w:val="NormalTok"/>
        </w:rPr>
        <w:t xml:space="preserve"> </w:t>
      </w:r>
      <w:r>
        <w:rPr>
          <w:rStyle w:val="FunctionTok"/>
        </w:rPr>
        <w:t xml:space="preserve">pander</w:t>
      </w:r>
      <w:r>
        <w:rPr>
          <w:rStyle w:val="NormalTok"/>
        </w:rPr>
        <w:t xml:space="preserve">()</w:t>
      </w:r>
    </w:p>
    <w:p>
      <w:pPr>
        <w:pStyle w:val="TableCaption"/>
      </w:pPr>
      <w:r>
        <w:t xml:space="preserve">Analysis of Variance Model</w:t>
      </w:r>
    </w:p>
    <w:tbl>
      <w:tblPr>
        <w:tblStyle w:val="Table"/>
        <w:tblW w:type="pct" w:w="4375"/>
        <w:tblLook w:firstRow="1" w:lastRow="0" w:firstColumn="0" w:lastColumn="0" w:noHBand="0" w:noVBand="0" w:val="0020"/>
        <w:jc w:val="start"/>
        <w:tblLayout w:type="fixed"/>
        <w:tblCaption w:val="Analysis of Variance Model"/>
      </w:tblPr>
      <w:tblGrid>
        <w:gridCol w:w="1760"/>
        <w:gridCol w:w="660"/>
        <w:gridCol w:w="990"/>
        <w:gridCol w:w="1100"/>
        <w:gridCol w:w="1100"/>
        <w:gridCol w:w="132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diet</w:t>
            </w:r>
          </w:p>
        </w:tc>
        <w:tc>
          <w:tcPr/>
          <w:p>
            <w:pPr>
              <w:pStyle w:val="Compact"/>
              <w:jc w:val="center"/>
            </w:pPr>
            <w:r>
              <w:t xml:space="preserve">3</w:t>
            </w:r>
          </w:p>
        </w:tc>
        <w:tc>
          <w:tcPr/>
          <w:p>
            <w:pPr>
              <w:pStyle w:val="Compact"/>
              <w:jc w:val="center"/>
            </w:pPr>
            <w:r>
              <w:t xml:space="preserve">11426</w:t>
            </w:r>
          </w:p>
        </w:tc>
        <w:tc>
          <w:tcPr/>
          <w:p>
            <w:pPr>
              <w:pStyle w:val="Compact"/>
              <w:jc w:val="center"/>
            </w:pPr>
            <w:r>
              <w:t xml:space="preserve">3809</w:t>
            </w:r>
          </w:p>
        </w:tc>
        <w:tc>
          <w:tcPr/>
          <w:p>
            <w:pPr>
              <w:pStyle w:val="Compact"/>
              <w:jc w:val="center"/>
            </w:pPr>
            <w:r>
              <w:t xml:space="preserve">87.41</w:t>
            </w:r>
          </w:p>
        </w:tc>
        <w:tc>
          <w:tcPr/>
          <w:p>
            <w:pPr>
              <w:pStyle w:val="Compact"/>
              <w:jc w:val="center"/>
            </w:pPr>
            <w:r>
              <w:t xml:space="preserve">6.348e-38</w:t>
            </w:r>
          </w:p>
        </w:tc>
      </w:tr>
      <w:tr>
        <w:tc>
          <w:tcPr/>
          <w:p>
            <w:pPr>
              <w:pStyle w:val="Compact"/>
              <w:jc w:val="center"/>
            </w:pPr>
            <w:r>
              <w:rPr>
                <w:bCs/>
                <w:b/>
              </w:rPr>
              <w:t xml:space="preserve">Residuals</w:t>
            </w:r>
          </w:p>
        </w:tc>
        <w:tc>
          <w:tcPr/>
          <w:p>
            <w:pPr>
              <w:pStyle w:val="Compact"/>
              <w:jc w:val="center"/>
            </w:pPr>
            <w:r>
              <w:t xml:space="preserve">233</w:t>
            </w:r>
          </w:p>
        </w:tc>
        <w:tc>
          <w:tcPr/>
          <w:p>
            <w:pPr>
              <w:pStyle w:val="Compact"/>
              <w:jc w:val="center"/>
            </w:pPr>
            <w:r>
              <w:t xml:space="preserve">10152</w:t>
            </w:r>
          </w:p>
        </w:tc>
        <w:tc>
          <w:tcPr/>
          <w:p>
            <w:pPr>
              <w:pStyle w:val="Compact"/>
              <w:jc w:val="center"/>
            </w:pPr>
            <w:r>
              <w:t xml:space="preserve">43.57</w:t>
            </w:r>
          </w:p>
        </w:tc>
        <w:tc>
          <w:tcPr/>
          <w:p>
            <w:pPr>
              <w:pStyle w:val="Compact"/>
              <w:jc w:val="center"/>
            </w:pPr>
            <w:r>
              <w:t xml:space="preserve">NA</w:t>
            </w:r>
          </w:p>
        </w:tc>
        <w:tc>
          <w:tcPr/>
          <w:p>
            <w:pPr>
              <w:pStyle w:val="Compact"/>
              <w:jc w:val="center"/>
            </w:pPr>
            <w:r>
              <w:t xml:space="preserve">NA</w:t>
            </w:r>
          </w:p>
        </w:tc>
      </w:tr>
    </w:tbl>
    <w:p>
      <w:pPr>
        <w:pStyle w:val="BodyText"/>
      </w:pPr>
      <w:r>
        <w:t xml:space="preserve">The test indicates that the data provide strong evidence against the null hypothesis of no effect of diet on longevity. We now would like to know:</w:t>
      </w:r>
    </w:p>
    <w:p>
      <w:pPr>
        <w:numPr>
          <w:ilvl w:val="0"/>
          <w:numId w:val="1003"/>
        </w:numPr>
        <w:pStyle w:val="Compact"/>
      </w:pPr>
      <w:r>
        <w:t xml:space="preserve">estimated mean lifetimes for each diet</w:t>
      </w:r>
    </w:p>
    <w:p>
      <w:pPr>
        <w:numPr>
          <w:ilvl w:val="0"/>
          <w:numId w:val="1003"/>
        </w:numPr>
        <w:pStyle w:val="Compact"/>
      </w:pPr>
      <w:r>
        <w:t xml:space="preserve">which differences in mean lifetimes are significant</w:t>
      </w:r>
    </w:p>
    <w:p>
      <w:pPr>
        <w:numPr>
          <w:ilvl w:val="0"/>
          <w:numId w:val="1003"/>
        </w:numPr>
        <w:pStyle w:val="Compact"/>
      </w:pPr>
      <w:r>
        <w:t xml:space="preserve">estimated gains in lifetime for each level of dietary restriction relative to an unrestricted diet</w:t>
      </w:r>
    </w:p>
    <w:p>
      <w:pPr>
        <w:pStyle w:val="FirstParagraph"/>
      </w:pPr>
      <w:r>
        <w:t xml:space="preserve">We will use</w:t>
      </w:r>
      <w:r>
        <w:t xml:space="preserve"> </w:t>
      </w:r>
      <w:r>
        <w:rPr>
          <w:rStyle w:val="VerbatimChar"/>
        </w:rPr>
        <w:t xml:space="preserve">emmeans</w:t>
      </w:r>
      <w:r>
        <w:t xml:space="preserve"> </w:t>
      </w:r>
      <w:r>
        <w:t xml:space="preserve">to perform these inferences.</w:t>
      </w:r>
    </w:p>
    <w:bookmarkEnd w:id="23"/>
    <w:bookmarkStart w:id="33" w:name="model-based-estimates"/>
    <w:p>
      <w:pPr>
        <w:pStyle w:val="Heading3"/>
      </w:pPr>
      <w:r>
        <w:t xml:space="preserve">Model-based estimates</w:t>
      </w:r>
    </w:p>
    <w:p>
      <w:pPr>
        <w:pStyle w:val="FirstParagraph"/>
      </w:pPr>
      <w:r>
        <w:t xml:space="preserve">Estimates of the group means and the within-group standard deviation are computed when the model is fit. We can use these to compute confidence intervals for each group mean. Use the</w:t>
      </w:r>
      <w:r>
        <w:t xml:space="preserve"> </w:t>
      </w:r>
      <w:r>
        <w:rPr>
          <w:rStyle w:val="VerbatimChar"/>
        </w:rPr>
        <w:t xml:space="preserve">level = ...</w:t>
      </w:r>
      <w:r>
        <w:t xml:space="preserve"> </w:t>
      </w:r>
      <w:r>
        <w:t xml:space="preserve">argument to change the confidence level.</w:t>
      </w:r>
    </w:p>
    <w:p>
      <w:pPr>
        <w:pStyle w:val="SourceCode"/>
      </w:pPr>
      <w:r>
        <w:rPr>
          <w:rStyle w:val="CommentTok"/>
        </w:rPr>
        <w:t xml:space="preserve"># intervals for group means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confint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pander</w:t>
      </w:r>
      <w:r>
        <w:rPr>
          <w:rStyle w:val="NormalTok"/>
        </w:rPr>
        <w:t xml:space="preserve">()</w:t>
      </w:r>
    </w:p>
    <w:tbl>
      <w:tblPr>
        <w:tblStyle w:val="Table"/>
        <w:tblW w:type="pct" w:w="3750"/>
        <w:tblLook w:firstRow="1" w:lastRow="0" w:firstColumn="0" w:lastColumn="0" w:noHBand="0" w:noVBand="0" w:val="0020"/>
        <w:jc w:val="start"/>
        <w:tblLayout w:type="fixed"/>
      </w:tblPr>
      <w:tblGrid>
        <w:gridCol w:w="880"/>
        <w:gridCol w:w="990"/>
        <w:gridCol w:w="990"/>
        <w:gridCol w:w="660"/>
        <w:gridCol w:w="1210"/>
        <w:gridCol w:w="1210"/>
      </w:tblGrid>
      <w:tr>
        <w:trPr>
          <w:tblHeader w:val="true"/>
        </w:trPr>
        <w:tc>
          <w:tcPr/>
          <w:p>
            <w:pPr>
              <w:pStyle w:val="Compact"/>
              <w:jc w:val="center"/>
            </w:pPr>
            <w:r>
              <w:t xml:space="preserve">diet</w:t>
            </w:r>
          </w:p>
        </w:tc>
        <w:tc>
          <w:tcPr/>
          <w:p>
            <w:pPr>
              <w:pStyle w:val="Compact"/>
              <w:jc w:val="center"/>
            </w:pPr>
            <w:r>
              <w:t xml:space="preserve">emmean</w:t>
            </w:r>
          </w:p>
        </w:tc>
        <w:tc>
          <w:tcPr/>
          <w:p>
            <w:pPr>
              <w:pStyle w:val="Compact"/>
              <w:jc w:val="center"/>
            </w:pPr>
            <w:r>
              <w:t xml:space="preserve">SE</w:t>
            </w:r>
          </w:p>
        </w:tc>
        <w:tc>
          <w:tcPr/>
          <w:p>
            <w:pPr>
              <w:pStyle w:val="Compact"/>
              <w:jc w:val="center"/>
            </w:pPr>
            <w:r>
              <w:t xml:space="preserve">df</w:t>
            </w:r>
          </w:p>
        </w:tc>
        <w:tc>
          <w:tcPr/>
          <w:p>
            <w:pPr>
              <w:pStyle w:val="Compact"/>
              <w:jc w:val="center"/>
            </w:pPr>
            <w:r>
              <w:t xml:space="preserve">lower.CL</w:t>
            </w:r>
          </w:p>
        </w:tc>
        <w:tc>
          <w:tcPr/>
          <w:p>
            <w:pPr>
              <w:pStyle w:val="Compact"/>
              <w:jc w:val="center"/>
            </w:pPr>
            <w:r>
              <w:t xml:space="preserve">upper.CL</w:t>
            </w:r>
          </w:p>
        </w:tc>
      </w:tr>
      <w:tr>
        <w:tc>
          <w:tcPr/>
          <w:p>
            <w:pPr>
              <w:pStyle w:val="Compact"/>
              <w:jc w:val="center"/>
            </w:pPr>
            <w:r>
              <w:t xml:space="preserve">NP</w:t>
            </w:r>
          </w:p>
        </w:tc>
        <w:tc>
          <w:tcPr/>
          <w:p>
            <w:pPr>
              <w:pStyle w:val="Compact"/>
              <w:jc w:val="center"/>
            </w:pPr>
            <w:r>
              <w:t xml:space="preserve">27.4</w:t>
            </w:r>
          </w:p>
        </w:tc>
        <w:tc>
          <w:tcPr/>
          <w:p>
            <w:pPr>
              <w:pStyle w:val="Compact"/>
              <w:jc w:val="center"/>
            </w:pPr>
            <w:r>
              <w:t xml:space="preserve">0.943</w:t>
            </w:r>
          </w:p>
        </w:tc>
        <w:tc>
          <w:tcPr/>
          <w:p>
            <w:pPr>
              <w:pStyle w:val="Compact"/>
              <w:jc w:val="center"/>
            </w:pPr>
            <w:r>
              <w:t xml:space="preserve">233</w:t>
            </w:r>
          </w:p>
        </w:tc>
        <w:tc>
          <w:tcPr/>
          <w:p>
            <w:pPr>
              <w:pStyle w:val="Compact"/>
              <w:jc w:val="center"/>
            </w:pPr>
            <w:r>
              <w:t xml:space="preserve">25.54</w:t>
            </w:r>
          </w:p>
        </w:tc>
        <w:tc>
          <w:tcPr/>
          <w:p>
            <w:pPr>
              <w:pStyle w:val="Compact"/>
              <w:jc w:val="center"/>
            </w:pPr>
            <w:r>
              <w:t xml:space="preserve">29.26</w:t>
            </w:r>
          </w:p>
        </w:tc>
      </w:tr>
      <w:tr>
        <w:tc>
          <w:tcPr/>
          <w:p>
            <w:pPr>
              <w:pStyle w:val="Compact"/>
              <w:jc w:val="center"/>
            </w:pPr>
            <w:r>
              <w:t xml:space="preserve">N/N85</w:t>
            </w:r>
          </w:p>
        </w:tc>
        <w:tc>
          <w:tcPr/>
          <w:p>
            <w:pPr>
              <w:pStyle w:val="Compact"/>
              <w:jc w:val="center"/>
            </w:pPr>
            <w:r>
              <w:t xml:space="preserve">32.69</w:t>
            </w:r>
          </w:p>
        </w:tc>
        <w:tc>
          <w:tcPr/>
          <w:p>
            <w:pPr>
              <w:pStyle w:val="Compact"/>
              <w:jc w:val="center"/>
            </w:pPr>
            <w:r>
              <w:t xml:space="preserve">0.8743</w:t>
            </w:r>
          </w:p>
        </w:tc>
        <w:tc>
          <w:tcPr/>
          <w:p>
            <w:pPr>
              <w:pStyle w:val="Compact"/>
              <w:jc w:val="center"/>
            </w:pPr>
            <w:r>
              <w:t xml:space="preserve">233</w:t>
            </w:r>
          </w:p>
        </w:tc>
        <w:tc>
          <w:tcPr/>
          <w:p>
            <w:pPr>
              <w:pStyle w:val="Compact"/>
              <w:jc w:val="center"/>
            </w:pPr>
            <w:r>
              <w:t xml:space="preserve">30.97</w:t>
            </w:r>
          </w:p>
        </w:tc>
        <w:tc>
          <w:tcPr/>
          <w:p>
            <w:pPr>
              <w:pStyle w:val="Compact"/>
              <w:jc w:val="center"/>
            </w:pPr>
            <w:r>
              <w:t xml:space="preserve">34.41</w:t>
            </w:r>
          </w:p>
        </w:tc>
      </w:tr>
      <w:tr>
        <w:tc>
          <w:tcPr/>
          <w:p>
            <w:pPr>
              <w:pStyle w:val="Compact"/>
              <w:jc w:val="center"/>
            </w:pPr>
            <w:r>
              <w:t xml:space="preserve">N/R50</w:t>
            </w:r>
          </w:p>
        </w:tc>
        <w:tc>
          <w:tcPr/>
          <w:p>
            <w:pPr>
              <w:pStyle w:val="Compact"/>
              <w:jc w:val="center"/>
            </w:pPr>
            <w:r>
              <w:t xml:space="preserve">42.3</w:t>
            </w:r>
          </w:p>
        </w:tc>
        <w:tc>
          <w:tcPr/>
          <w:p>
            <w:pPr>
              <w:pStyle w:val="Compact"/>
              <w:jc w:val="center"/>
            </w:pPr>
            <w:r>
              <w:t xml:space="preserve">0.7834</w:t>
            </w:r>
          </w:p>
        </w:tc>
        <w:tc>
          <w:tcPr/>
          <w:p>
            <w:pPr>
              <w:pStyle w:val="Compact"/>
              <w:jc w:val="center"/>
            </w:pPr>
            <w:r>
              <w:t xml:space="preserve">233</w:t>
            </w:r>
          </w:p>
        </w:tc>
        <w:tc>
          <w:tcPr/>
          <w:p>
            <w:pPr>
              <w:pStyle w:val="Compact"/>
              <w:jc w:val="center"/>
            </w:pPr>
            <w:r>
              <w:t xml:space="preserve">40.75</w:t>
            </w:r>
          </w:p>
        </w:tc>
        <w:tc>
          <w:tcPr/>
          <w:p>
            <w:pPr>
              <w:pStyle w:val="Compact"/>
              <w:jc w:val="center"/>
            </w:pPr>
            <w:r>
              <w:t xml:space="preserve">43.84</w:t>
            </w:r>
          </w:p>
        </w:tc>
      </w:tr>
      <w:tr>
        <w:tc>
          <w:tcPr/>
          <w:p>
            <w:pPr>
              <w:pStyle w:val="Compact"/>
              <w:jc w:val="center"/>
            </w:pPr>
            <w:r>
              <w:t xml:space="preserve">N/R40</w:t>
            </w:r>
          </w:p>
        </w:tc>
        <w:tc>
          <w:tcPr/>
          <w:p>
            <w:pPr>
              <w:pStyle w:val="Compact"/>
              <w:jc w:val="center"/>
            </w:pPr>
            <w:r>
              <w:t xml:space="preserve">45.12</w:t>
            </w:r>
          </w:p>
        </w:tc>
        <w:tc>
          <w:tcPr/>
          <w:p>
            <w:pPr>
              <w:pStyle w:val="Compact"/>
              <w:jc w:val="center"/>
            </w:pPr>
            <w:r>
              <w:t xml:space="preserve">0.8522</w:t>
            </w:r>
          </w:p>
        </w:tc>
        <w:tc>
          <w:tcPr/>
          <w:p>
            <w:pPr>
              <w:pStyle w:val="Compact"/>
              <w:jc w:val="center"/>
            </w:pPr>
            <w:r>
              <w:t xml:space="preserve">233</w:t>
            </w:r>
          </w:p>
        </w:tc>
        <w:tc>
          <w:tcPr/>
          <w:p>
            <w:pPr>
              <w:pStyle w:val="Compact"/>
              <w:jc w:val="center"/>
            </w:pPr>
            <w:r>
              <w:t xml:space="preserve">43.44</w:t>
            </w:r>
          </w:p>
        </w:tc>
        <w:tc>
          <w:tcPr/>
          <w:p>
            <w:pPr>
              <w:pStyle w:val="Compact"/>
              <w:jc w:val="center"/>
            </w:pPr>
            <w:r>
              <w:t xml:space="preserve">46.8</w:t>
            </w:r>
          </w:p>
        </w:tc>
      </w:tr>
    </w:tbl>
    <w:p>
      <w:pPr>
        <w:pStyle w:val="BodyText"/>
      </w:pPr>
      <w:r>
        <w:t xml:space="preserve">The</w:t>
      </w:r>
      <w:r>
        <w:t xml:space="preserve"> </w:t>
      </w:r>
      <w:r>
        <w:rPr>
          <w:rStyle w:val="VerbatimChar"/>
        </w:rPr>
        <w:t xml:space="preserve">emmeans</w:t>
      </w:r>
      <w:r>
        <w:t xml:space="preserve"> </w:t>
      </w:r>
      <w:r>
        <w:t xml:space="preserve">package also has a plotting method available to visualize the ANOVA model estimates.</w:t>
      </w:r>
    </w:p>
    <w:p>
      <w:pPr>
        <w:pStyle w:val="SourceCode"/>
      </w:pPr>
      <w:r>
        <w:rPr>
          <w:rStyle w:val="CommentTok"/>
        </w:rPr>
        <w:t xml:space="preserve"># basic plotting method</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xlab =</w:t>
      </w:r>
      <w:r>
        <w:rPr>
          <w:rStyle w:val="NormalTok"/>
        </w:rPr>
        <w:t xml:space="preserve"> </w:t>
      </w:r>
      <w:r>
        <w:rPr>
          <w:rStyle w:val="StringTok"/>
        </w:rPr>
        <w:t xml:space="preserve">'estimated mean lifetime'</w:t>
      </w:r>
      <w:r>
        <w:rPr>
          <w:rStyle w:val="NormalTok"/>
        </w:rPr>
        <w:t xml:space="preserve">)</w:t>
      </w:r>
    </w:p>
    <w:p>
      <w:pPr>
        <w:pStyle w:val="FirstParagraph"/>
      </w:pPr>
      <w:r>
        <w:drawing>
          <wp:inline>
            <wp:extent cx="4876800" cy="3657600"/>
            <wp:effectExtent b="0" l="0" r="0" t="0"/>
            <wp:docPr descr="" title="" id="25" name="Picture"/>
            <a:graphic>
              <a:graphicData uri="http://schemas.openxmlformats.org/drawingml/2006/picture">
                <pic:pic>
                  <pic:nvPicPr>
                    <pic:cNvPr descr="lab12-pairwise_files/figure-docx/visualize%20estimates-1.png" id="26" name="Picture"/>
                    <pic:cNvPicPr>
                      <a:picLocks noChangeArrowheads="1" noChangeAspect="1"/>
                    </pic:cNvPicPr>
                  </pic:nvPicPr>
                  <pic:blipFill>
                    <a:blip r:embed="rId24"/>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CommentTok"/>
        </w:rPr>
        <w:t xml:space="preserve"># another option</w:t>
      </w:r>
      <w:r>
        <w:br/>
      </w:r>
      <w:r>
        <w:rPr>
          <w:rStyle w:val="FunctionTok"/>
        </w:rPr>
        <w:t xml:space="preserve">emmip</w:t>
      </w:r>
      <w:r>
        <w:rPr>
          <w:rStyle w:val="NormalTok"/>
        </w:rPr>
        <w:t xml:space="preserve">(fit, </w:t>
      </w:r>
      <w:r>
        <w:rPr>
          <w:rStyle w:val="SpecialCharTok"/>
        </w:rPr>
        <w:t xml:space="preserve">~</w:t>
      </w:r>
      <w:r>
        <w:rPr>
          <w:rStyle w:val="NormalTok"/>
        </w:rPr>
        <w:t xml:space="preserve"> diet, </w:t>
      </w:r>
      <w:r>
        <w:rPr>
          <w:rStyle w:val="AttributeTok"/>
        </w:rPr>
        <w:t xml:space="preserve">CIs =</w:t>
      </w:r>
      <w:r>
        <w:rPr>
          <w:rStyle w:val="NormalTok"/>
        </w:rPr>
        <w:t xml:space="preserve"> T,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ylab =</w:t>
      </w:r>
      <w:r>
        <w:rPr>
          <w:rStyle w:val="NormalTok"/>
        </w:rPr>
        <w:t xml:space="preserve"> </w:t>
      </w:r>
      <w:r>
        <w:rPr>
          <w:rStyle w:val="StringTok"/>
        </w:rPr>
        <w:t xml:space="preserve">'estimated mean lifetime'</w:t>
      </w:r>
      <w:r>
        <w:rPr>
          <w:rStyle w:val="NormalTok"/>
        </w:rPr>
        <w:t xml:space="preserve">)</w:t>
      </w:r>
    </w:p>
    <w:p>
      <w:pPr>
        <w:pStyle w:val="FirstParagraph"/>
      </w:pPr>
      <w:r>
        <w:drawing>
          <wp:inline>
            <wp:extent cx="4876800" cy="3657600"/>
            <wp:effectExtent b="0" l="0" r="0" t="0"/>
            <wp:docPr descr="" title="" id="28" name="Picture"/>
            <a:graphic>
              <a:graphicData uri="http://schemas.openxmlformats.org/drawingml/2006/picture">
                <pic:pic>
                  <pic:nvPicPr>
                    <pic:cNvPr descr="lab12-pairwise_files/figure-docx/visualize%20estimates-2.png" id="29" name="Picture"/>
                    <pic:cNvPicPr>
                      <a:picLocks noChangeArrowheads="1" noChangeAspect="1"/>
                    </pic:cNvPicPr>
                  </pic:nvPicPr>
                  <pic:blipFill>
                    <a:blip r:embed="rId27"/>
                    <a:stretch>
                      <a:fillRect/>
                    </a:stretch>
                  </pic:blipFill>
                  <pic:spPr bwMode="auto">
                    <a:xfrm>
                      <a:off x="0" y="0"/>
                      <a:ext cx="48768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The Bonferroni correction is a way to adjust multiple inferences to control error accrual. In the context of intervals, this amounts to making them wider to achieve simultaneous coverage at a specific rate.</w:t>
            </w:r>
          </w:p>
          <w:p>
            <w:pPr>
              <w:pStyle w:val="BodyText"/>
            </w:pPr>
            <w:r>
              <w:t xml:space="preserve">To implement the correction in a way that achieves</w:t>
            </w:r>
            <w:r>
              <w:t xml:space="preserve"> </w:t>
            </w:r>
            <m:oMath>
              <m:d>
                <m:dPr>
                  <m:begChr m:val="("/>
                  <m:endChr m:val=")"/>
                  <m:sepChr m:val=""/>
                  <m:grow/>
                </m:dPr>
                <m:e>
                  <m:r>
                    <m:t>1</m:t>
                  </m:r>
                  <m:r>
                    <m:rPr>
                      <m:sty m:val="p"/>
                    </m:rPr>
                    <m:t>−</m:t>
                  </m:r>
                  <m:r>
                    <m:t>α</m:t>
                  </m:r>
                </m:e>
              </m:d>
            </m:oMath>
            <w:r>
              <w:t xml:space="preserve"> </w:t>
            </w:r>
            <w:r>
              <w:t xml:space="preserve">simultaneous coverage for</w:t>
            </w:r>
            <w:r>
              <w:t xml:space="preserve"> </w:t>
            </w:r>
            <m:oMath>
              <m:r>
                <m:t>k</m:t>
              </m:r>
            </m:oMath>
            <w:r>
              <w:t xml:space="preserve"> </w:t>
            </w:r>
            <w:r>
              <w:t xml:space="preserve">intervals, change the confidence level to</w:t>
            </w:r>
            <w:r>
              <w:t xml:space="preserve"> </w:t>
            </w:r>
            <m:oMath>
              <m:d>
                <m:dPr>
                  <m:begChr m:val="("/>
                  <m:endChr m:val=")"/>
                  <m:sepChr m:val=""/>
                  <m:grow/>
                </m:dPr>
                <m:e>
                  <m:r>
                    <m:t>1</m:t>
                  </m:r>
                  <m:r>
                    <m:rPr>
                      <m:sty m:val="p"/>
                    </m:rPr>
                    <m:t>−</m:t>
                  </m:r>
                  <m:f>
                    <m:fPr>
                      <m:type m:val="bar"/>
                    </m:fPr>
                    <m:num>
                      <m:r>
                        <m:t>α</m:t>
                      </m:r>
                    </m:num>
                    <m:den>
                      <m:r>
                        <m:t>k</m:t>
                      </m:r>
                    </m:den>
                  </m:f>
                </m:e>
              </m:d>
            </m:oMath>
            <w:r>
              <w:t xml:space="preserve"> </w:t>
            </w:r>
            <w:r>
              <w:t xml:space="preserve">where</w:t>
            </w:r>
            <w:r>
              <w:t xml:space="preserve"> </w:t>
            </w:r>
            <m:oMath>
              <m:r>
                <m:t>k</m:t>
              </m:r>
            </m:oMath>
            <w:r>
              <w:t xml:space="preserve"> </w:t>
            </w:r>
            <w:r>
              <w:t xml:space="preserve">is the number of groups.</w:t>
            </w:r>
          </w:p>
          <w:p>
            <w:pPr>
              <w:pStyle w:val="BodyText"/>
            </w:pPr>
            <w:r>
              <w:t xml:space="preserve">Adjust the table and plot above to achieve a simultaneous 95% coverage of all four means.</w:t>
            </w:r>
          </w:p>
          <w:p>
            <w:pPr>
              <w:pStyle w:val="SourceCode"/>
            </w:pPr>
            <w:r>
              <w:rPr>
                <w:rStyle w:val="CommentTok"/>
              </w:rPr>
              <w:t xml:space="preserve"># intervals for group means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confint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CommentTok"/>
              </w:rPr>
              <w:t xml:space="preserve"># change here</w:t>
            </w:r>
            <w:r>
              <w:br/>
            </w:r>
            <w:r>
              <w:br/>
            </w:r>
            <w:r>
              <w:rPr>
                <w:rStyle w:val="CommentTok"/>
              </w:rPr>
              <w:t xml:space="preserve"># plot</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CommentTok"/>
              </w:rPr>
              <w:t xml:space="preserve"># change here</w:t>
            </w:r>
            <w:r>
              <w:br/>
            </w:r>
            <w:r>
              <w:rPr>
                <w:rStyle w:val="NormalTok"/>
              </w:rPr>
              <w:t xml:space="preserve">       </w:t>
            </w:r>
            <w:r>
              <w:rPr>
                <w:rStyle w:val="AttributeTok"/>
              </w:rPr>
              <w:t xml:space="preserve">xlab =</w:t>
            </w:r>
            <w:r>
              <w:rPr>
                <w:rStyle w:val="NormalTok"/>
              </w:rPr>
              <w:t xml:space="preserve"> </w:t>
            </w:r>
            <w:r>
              <w:rPr>
                <w:rStyle w:val="StringTok"/>
              </w:rPr>
              <w:t xml:space="preserve">'estimated mean lifetime'</w:t>
            </w:r>
            <w:r>
              <w:rPr>
                <w:rStyle w:val="NormalTok"/>
              </w:rPr>
              <w:t xml:space="preserve">)</w:t>
            </w:r>
          </w:p>
        </w:tc>
      </w:tr>
    </w:tbl>
    <w:p>
      <w:pPr>
        <w:pStyle w:val="FirstParagraph"/>
      </w:pPr>
      <w:r>
        <w:t xml:space="preserve">The Bonferroni correction can also be implemented by adding the argument</w:t>
      </w:r>
      <w:r>
        <w:t xml:space="preserve"> </w:t>
      </w:r>
      <w:r>
        <w:rPr>
          <w:rStyle w:val="VerbatimChar"/>
        </w:rPr>
        <w:t xml:space="preserve">adjust = 'bonferroni'</w:t>
      </w:r>
      <w:r>
        <w:t xml:space="preserve"> </w:t>
      </w:r>
      <w:r>
        <w:t xml:space="preserve">to either</w:t>
      </w:r>
      <w:r>
        <w:t xml:space="preserve"> </w:t>
      </w:r>
      <w:r>
        <w:rPr>
          <w:rStyle w:val="VerbatimChar"/>
        </w:rPr>
        <w:t xml:space="preserve">confint()</w:t>
      </w:r>
      <w:r>
        <w:t xml:space="preserve"> </w:t>
      </w:r>
      <w:r>
        <w:t xml:space="preserve">or</w:t>
      </w:r>
      <w:r>
        <w:t xml:space="preserve"> </w:t>
      </w:r>
      <w:r>
        <w:rPr>
          <w:rStyle w:val="VerbatimChar"/>
        </w:rPr>
        <w:t xml:space="preserve">plot()</w:t>
      </w:r>
      <w:r>
        <w:t xml:space="preserve">. If this approach is used, the</w:t>
      </w:r>
      <w:r>
        <w:t xml:space="preserve"> </w:t>
      </w:r>
      <w:r>
        <w:rPr>
          <w:rStyle w:val="VerbatimChar"/>
        </w:rPr>
        <w:t xml:space="preserve">level</w:t>
      </w:r>
      <w:r>
        <w:t xml:space="preserve"> </w:t>
      </w:r>
      <w:r>
        <w:t xml:space="preserve">argument should specify the</w:t>
      </w:r>
      <w:r>
        <w:t xml:space="preserve"> </w:t>
      </w:r>
      <w:r>
        <w:rPr>
          <w:iCs/>
          <w:i/>
        </w:rPr>
        <w:t xml:space="preserve">simultaneous</w:t>
      </w:r>
      <w:r>
        <w:t xml:space="preserve"> </w:t>
      </w:r>
      <w:r>
        <w:t xml:space="preserve">coverage (not the individual coverage).</w:t>
      </w:r>
    </w:p>
    <w:bookmarkEnd w:id="33"/>
    <w:bookmarkStart w:id="46" w:name="post-hoc-inferences"/>
    <w:p>
      <w:pPr>
        <w:pStyle w:val="Heading3"/>
      </w:pPr>
      <w:r>
        <w:t xml:space="preserve">Post-hoc inferences</w:t>
      </w:r>
    </w:p>
    <w:bookmarkStart w:id="36" w:name="tests-for-means"/>
    <w:p>
      <w:pPr>
        <w:pStyle w:val="Heading4"/>
      </w:pPr>
      <w:r>
        <w:t xml:space="preserve">Tests for means</w:t>
      </w:r>
    </w:p>
    <w:p>
      <w:pPr>
        <w:pStyle w:val="FirstParagraph"/>
      </w:pPr>
      <w:r>
        <w:t xml:space="preserve">While relatively uncommon, one could perform hypothesis tests for the group means on a post-hoc basis. For example, we might test the hypotheses:</w:t>
      </w:r>
    </w:p>
    <w:p>
      <w:pPr>
        <w:pStyle w:val="BodyText"/>
      </w:pPr>
      <m:oMathPara>
        <m:oMathParaPr>
          <m:jc m:val="center"/>
        </m:oMathParaPr>
        <m:oMath>
          <m:d>
            <m:dPr>
              <m:begChr m:val="{"/>
              <m:endChr m:val=""/>
              <m:sepChr m:val=""/>
              <m:grow/>
            </m:dPr>
            <m:e>
              <m:m>
                <m:mPr>
                  <m:baseJc m:val="center"/>
                  <m:plcHide m:val="on"/>
                  <m:mcs>
                    <m:mc>
                      <m:mcPr>
                        <m:mcJc m:val="left"/>
                        <m:count m:val="1"/>
                      </m:mcPr>
                    </m:mc>
                  </m:mcs>
                </m:mPr>
                <m:mr>
                  <m:e>
                    <m:sSub>
                      <m:e>
                        <m:r>
                          <m:t>H</m:t>
                        </m:r>
                      </m:e>
                      <m:sub>
                        <m:r>
                          <m:t>0</m:t>
                        </m:r>
                      </m:sub>
                    </m:sSub>
                    <m:r>
                      <m:rPr>
                        <m:sty m:val="p"/>
                      </m:rPr>
                      <m:t>:</m:t>
                    </m:r>
                    <m:sSub>
                      <m:e>
                        <m:r>
                          <m:t>μ</m:t>
                        </m:r>
                      </m:e>
                      <m:sub>
                        <m:r>
                          <m:t>i</m:t>
                        </m:r>
                      </m:sub>
                    </m:sSub>
                    <m:r>
                      <m:rPr>
                        <m:sty m:val="p"/>
                      </m:rPr>
                      <m:t>≤</m:t>
                    </m:r>
                    <m:r>
                      <m:t>30</m:t>
                    </m:r>
                  </m:e>
                </m:mr>
                <m:mr>
                  <m:e>
                    <m:sSub>
                      <m:e>
                        <m:r>
                          <m:t>H</m:t>
                        </m:r>
                      </m:e>
                      <m:sub>
                        <m:r>
                          <m:t>A</m:t>
                        </m:r>
                      </m:sub>
                    </m:sSub>
                    <m:r>
                      <m:rPr>
                        <m:sty m:val="p"/>
                      </m:rPr>
                      <m:t>:</m:t>
                    </m:r>
                    <m:sSub>
                      <m:e>
                        <m:r>
                          <m:t>μ</m:t>
                        </m:r>
                      </m:e>
                      <m:sub>
                        <m:r>
                          <m:t>i</m:t>
                        </m:r>
                      </m:sub>
                    </m:sSub>
                    <m:r>
                      <m:rPr>
                        <m:sty m:val="p"/>
                      </m:rPr>
                      <m:t>&gt;</m:t>
                    </m:r>
                    <m:r>
                      <m:t>30</m:t>
                    </m:r>
                  </m:e>
                </m:mr>
              </m:m>
            </m:e>
          </m:d>
        </m:oMath>
      </m:oMathPara>
    </w:p>
    <w:p>
      <w:pPr>
        <w:pStyle w:val="FirstParagraph"/>
      </w:pPr>
      <w:r>
        <w:t xml:space="preserve">This can be implemented using</w:t>
      </w:r>
      <w:r>
        <w:t xml:space="preserve"> </w:t>
      </w:r>
      <w:r>
        <w:rPr>
          <w:rStyle w:val="VerbatimChar"/>
        </w:rPr>
        <w:t xml:space="preserve">test()</w:t>
      </w:r>
      <w:r>
        <w:t xml:space="preserve"> </w:t>
      </w:r>
      <w:r>
        <w:t xml:space="preserve">with the appropriate arguments, and corresponding one-sided intervals can be constructed with</w:t>
      </w:r>
      <w:r>
        <w:t xml:space="preserve"> </w:t>
      </w:r>
      <w:r>
        <w:rPr>
          <w:rStyle w:val="VerbatimChar"/>
        </w:rPr>
        <w:t xml:space="preserve">confint()</w:t>
      </w:r>
      <w:r>
        <w:t xml:space="preserve">.</w:t>
      </w:r>
    </w:p>
    <w:p>
      <w:pPr>
        <w:pStyle w:val="SourceCode"/>
      </w:pPr>
      <w:r>
        <w:rPr>
          <w:rStyle w:val="CommentTok"/>
        </w:rPr>
        <w:t xml:space="preserve"># test whether lifetimes exceed 30 days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test</w:t>
      </w:r>
      <w:r>
        <w:rPr>
          <w:rStyle w:val="NormalTok"/>
        </w:rPr>
        <w:t xml:space="preserve">(</w:t>
      </w:r>
      <w:r>
        <w:rPr>
          <w:rStyle w:val="AttributeTok"/>
        </w:rPr>
        <w:t xml:space="preserve">null =</w:t>
      </w:r>
      <w:r>
        <w:rPr>
          <w:rStyle w:val="NormalTok"/>
        </w:rPr>
        <w:t xml:space="preserve"> </w:t>
      </w:r>
      <w:r>
        <w:rPr>
          <w:rStyle w:val="DecValTok"/>
        </w:rPr>
        <w:t xml:space="preserve">30</w:t>
      </w:r>
      <w:r>
        <w:rPr>
          <w:rStyle w:val="NormalTok"/>
        </w:rPr>
        <w:t xml:space="preserve">, </w:t>
      </w:r>
      <w:r>
        <w:rPr>
          <w:rStyle w:val="AttributeTok"/>
        </w:rPr>
        <w:t xml:space="preserve">side =</w:t>
      </w:r>
      <w:r>
        <w:rPr>
          <w:rStyle w:val="NormalTok"/>
        </w:rPr>
        <w:t xml:space="preserve"> </w:t>
      </w:r>
      <w:r>
        <w:rPr>
          <w:rStyle w:val="String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pander</w:t>
      </w:r>
      <w:r>
        <w:rPr>
          <w:rStyle w:val="NormalTok"/>
        </w:rPr>
        <w:t xml:space="preserve">()</w:t>
      </w:r>
    </w:p>
    <w:tbl>
      <w:tblPr>
        <w:tblStyle w:val="Table"/>
        <w:tblW w:type="pct" w:w="4236"/>
        <w:tblLook w:firstRow="1" w:lastRow="0" w:firstColumn="0" w:lastColumn="0" w:noHBand="0" w:noVBand="0" w:val="0020"/>
        <w:jc w:val="start"/>
        <w:tblLayout w:type="fixed"/>
      </w:tblPr>
      <w:tblGrid>
        <w:gridCol w:w="880"/>
        <w:gridCol w:w="990"/>
        <w:gridCol w:w="990"/>
        <w:gridCol w:w="660"/>
        <w:gridCol w:w="770"/>
        <w:gridCol w:w="1100"/>
        <w:gridCol w:w="1320"/>
      </w:tblGrid>
      <w:tr>
        <w:trPr>
          <w:tblHeader w:val="true"/>
        </w:trPr>
        <w:tc>
          <w:tcPr/>
          <w:p>
            <w:pPr>
              <w:pStyle w:val="Compact"/>
              <w:jc w:val="center"/>
            </w:pPr>
            <w:r>
              <w:t xml:space="preserve">diet</w:t>
            </w:r>
          </w:p>
        </w:tc>
        <w:tc>
          <w:tcPr/>
          <w:p>
            <w:pPr>
              <w:pStyle w:val="Compact"/>
              <w:jc w:val="center"/>
            </w:pPr>
            <w:r>
              <w:t xml:space="preserve">emmean</w:t>
            </w:r>
          </w:p>
        </w:tc>
        <w:tc>
          <w:tcPr/>
          <w:p>
            <w:pPr>
              <w:pStyle w:val="Compact"/>
              <w:jc w:val="center"/>
            </w:pPr>
            <w:r>
              <w:t xml:space="preserve">SE</w:t>
            </w:r>
          </w:p>
        </w:tc>
        <w:tc>
          <w:tcPr/>
          <w:p>
            <w:pPr>
              <w:pStyle w:val="Compact"/>
              <w:jc w:val="center"/>
            </w:pPr>
            <w:r>
              <w:t xml:space="preserve">df</w:t>
            </w:r>
          </w:p>
        </w:tc>
        <w:tc>
          <w:tcPr/>
          <w:p>
            <w:pPr>
              <w:pStyle w:val="Compact"/>
              <w:jc w:val="center"/>
            </w:pPr>
            <w:r>
              <w:t xml:space="preserve">null</w:t>
            </w:r>
          </w:p>
        </w:tc>
        <w:tc>
          <w:tcPr/>
          <w:p>
            <w:pPr>
              <w:pStyle w:val="Compact"/>
              <w:jc w:val="center"/>
            </w:pPr>
            <w:r>
              <w:t xml:space="preserve">t.ratio</w:t>
            </w:r>
          </w:p>
        </w:tc>
        <w:tc>
          <w:tcPr/>
          <w:p>
            <w:pPr>
              <w:pStyle w:val="Compact"/>
              <w:jc w:val="center"/>
            </w:pPr>
            <w:r>
              <w:t xml:space="preserve">p.value</w:t>
            </w:r>
          </w:p>
        </w:tc>
      </w:tr>
      <w:tr>
        <w:tc>
          <w:tcPr/>
          <w:p>
            <w:pPr>
              <w:pStyle w:val="Compact"/>
              <w:jc w:val="center"/>
            </w:pPr>
            <w:r>
              <w:t xml:space="preserve">NP</w:t>
            </w:r>
          </w:p>
        </w:tc>
        <w:tc>
          <w:tcPr/>
          <w:p>
            <w:pPr>
              <w:pStyle w:val="Compact"/>
              <w:jc w:val="center"/>
            </w:pPr>
            <w:r>
              <w:t xml:space="preserve">27.4</w:t>
            </w:r>
          </w:p>
        </w:tc>
        <w:tc>
          <w:tcPr/>
          <w:p>
            <w:pPr>
              <w:pStyle w:val="Compact"/>
              <w:jc w:val="center"/>
            </w:pPr>
            <w:r>
              <w:t xml:space="preserve">0.943</w:t>
            </w:r>
          </w:p>
        </w:tc>
        <w:tc>
          <w:tcPr/>
          <w:p>
            <w:pPr>
              <w:pStyle w:val="Compact"/>
              <w:jc w:val="center"/>
            </w:pPr>
            <w:r>
              <w:t xml:space="preserve">233</w:t>
            </w:r>
          </w:p>
        </w:tc>
        <w:tc>
          <w:tcPr/>
          <w:p>
            <w:pPr>
              <w:pStyle w:val="Compact"/>
              <w:jc w:val="center"/>
            </w:pPr>
            <w:r>
              <w:t xml:space="preserve">30</w:t>
            </w:r>
          </w:p>
        </w:tc>
        <w:tc>
          <w:tcPr/>
          <w:p>
            <w:pPr>
              <w:pStyle w:val="Compact"/>
              <w:jc w:val="center"/>
            </w:pPr>
            <w:r>
              <w:t xml:space="preserve">-2.755</w:t>
            </w:r>
          </w:p>
        </w:tc>
        <w:tc>
          <w:tcPr/>
          <w:p>
            <w:pPr>
              <w:pStyle w:val="Compact"/>
              <w:jc w:val="center"/>
            </w:pPr>
            <w:r>
              <w:t xml:space="preserve">0.9968</w:t>
            </w:r>
          </w:p>
        </w:tc>
      </w:tr>
      <w:tr>
        <w:tc>
          <w:tcPr/>
          <w:p>
            <w:pPr>
              <w:pStyle w:val="Compact"/>
              <w:jc w:val="center"/>
            </w:pPr>
            <w:r>
              <w:t xml:space="preserve">N/N85</w:t>
            </w:r>
          </w:p>
        </w:tc>
        <w:tc>
          <w:tcPr/>
          <w:p>
            <w:pPr>
              <w:pStyle w:val="Compact"/>
              <w:jc w:val="center"/>
            </w:pPr>
            <w:r>
              <w:t xml:space="preserve">32.69</w:t>
            </w:r>
          </w:p>
        </w:tc>
        <w:tc>
          <w:tcPr/>
          <w:p>
            <w:pPr>
              <w:pStyle w:val="Compact"/>
              <w:jc w:val="center"/>
            </w:pPr>
            <w:r>
              <w:t xml:space="preserve">0.8743</w:t>
            </w:r>
          </w:p>
        </w:tc>
        <w:tc>
          <w:tcPr/>
          <w:p>
            <w:pPr>
              <w:pStyle w:val="Compact"/>
              <w:jc w:val="center"/>
            </w:pPr>
            <w:r>
              <w:t xml:space="preserve">233</w:t>
            </w:r>
          </w:p>
        </w:tc>
        <w:tc>
          <w:tcPr/>
          <w:p>
            <w:pPr>
              <w:pStyle w:val="Compact"/>
              <w:jc w:val="center"/>
            </w:pPr>
            <w:r>
              <w:t xml:space="preserve">30</w:t>
            </w:r>
          </w:p>
        </w:tc>
        <w:tc>
          <w:tcPr/>
          <w:p>
            <w:pPr>
              <w:pStyle w:val="Compact"/>
              <w:jc w:val="center"/>
            </w:pPr>
            <w:r>
              <w:t xml:space="preserve">3.078</w:t>
            </w:r>
          </w:p>
        </w:tc>
        <w:tc>
          <w:tcPr/>
          <w:p>
            <w:pPr>
              <w:pStyle w:val="Compact"/>
              <w:jc w:val="center"/>
            </w:pPr>
            <w:r>
              <w:t xml:space="preserve">0.001166</w:t>
            </w:r>
          </w:p>
        </w:tc>
      </w:tr>
      <w:tr>
        <w:tc>
          <w:tcPr/>
          <w:p>
            <w:pPr>
              <w:pStyle w:val="Compact"/>
              <w:jc w:val="center"/>
            </w:pPr>
            <w:r>
              <w:t xml:space="preserve">N/R50</w:t>
            </w:r>
          </w:p>
        </w:tc>
        <w:tc>
          <w:tcPr/>
          <w:p>
            <w:pPr>
              <w:pStyle w:val="Compact"/>
              <w:jc w:val="center"/>
            </w:pPr>
            <w:r>
              <w:t xml:space="preserve">42.3</w:t>
            </w:r>
          </w:p>
        </w:tc>
        <w:tc>
          <w:tcPr/>
          <w:p>
            <w:pPr>
              <w:pStyle w:val="Compact"/>
              <w:jc w:val="center"/>
            </w:pPr>
            <w:r>
              <w:t xml:space="preserve">0.7834</w:t>
            </w:r>
          </w:p>
        </w:tc>
        <w:tc>
          <w:tcPr/>
          <w:p>
            <w:pPr>
              <w:pStyle w:val="Compact"/>
              <w:jc w:val="center"/>
            </w:pPr>
            <w:r>
              <w:t xml:space="preserve">233</w:t>
            </w:r>
          </w:p>
        </w:tc>
        <w:tc>
          <w:tcPr/>
          <w:p>
            <w:pPr>
              <w:pStyle w:val="Compact"/>
              <w:jc w:val="center"/>
            </w:pPr>
            <w:r>
              <w:t xml:space="preserve">30</w:t>
            </w:r>
          </w:p>
        </w:tc>
        <w:tc>
          <w:tcPr/>
          <w:p>
            <w:pPr>
              <w:pStyle w:val="Compact"/>
              <w:jc w:val="center"/>
            </w:pPr>
            <w:r>
              <w:t xml:space="preserve">15.7</w:t>
            </w:r>
          </w:p>
        </w:tc>
        <w:tc>
          <w:tcPr/>
          <w:p>
            <w:pPr>
              <w:pStyle w:val="Compact"/>
              <w:jc w:val="center"/>
            </w:pPr>
            <w:r>
              <w:t xml:space="preserve">1.132e-38</w:t>
            </w:r>
          </w:p>
        </w:tc>
      </w:tr>
      <w:tr>
        <w:tc>
          <w:tcPr/>
          <w:p>
            <w:pPr>
              <w:pStyle w:val="Compact"/>
              <w:jc w:val="center"/>
            </w:pPr>
            <w:r>
              <w:t xml:space="preserve">N/R40</w:t>
            </w:r>
          </w:p>
        </w:tc>
        <w:tc>
          <w:tcPr/>
          <w:p>
            <w:pPr>
              <w:pStyle w:val="Compact"/>
              <w:jc w:val="center"/>
            </w:pPr>
            <w:r>
              <w:t xml:space="preserve">45.12</w:t>
            </w:r>
          </w:p>
        </w:tc>
        <w:tc>
          <w:tcPr/>
          <w:p>
            <w:pPr>
              <w:pStyle w:val="Compact"/>
              <w:jc w:val="center"/>
            </w:pPr>
            <w:r>
              <w:t xml:space="preserve">0.8522</w:t>
            </w:r>
          </w:p>
        </w:tc>
        <w:tc>
          <w:tcPr/>
          <w:p>
            <w:pPr>
              <w:pStyle w:val="Compact"/>
              <w:jc w:val="center"/>
            </w:pPr>
            <w:r>
              <w:t xml:space="preserve">233</w:t>
            </w:r>
          </w:p>
        </w:tc>
        <w:tc>
          <w:tcPr/>
          <w:p>
            <w:pPr>
              <w:pStyle w:val="Compact"/>
              <w:jc w:val="center"/>
            </w:pPr>
            <w:r>
              <w:t xml:space="preserve">30</w:t>
            </w:r>
          </w:p>
        </w:tc>
        <w:tc>
          <w:tcPr/>
          <w:p>
            <w:pPr>
              <w:pStyle w:val="Compact"/>
              <w:jc w:val="center"/>
            </w:pPr>
            <w:r>
              <w:t xml:space="preserve">17.74</w:t>
            </w:r>
          </w:p>
        </w:tc>
        <w:tc>
          <w:tcPr/>
          <w:p>
            <w:pPr>
              <w:pStyle w:val="Compact"/>
              <w:jc w:val="center"/>
            </w:pPr>
            <w:r>
              <w:t xml:space="preserve">1.973e-45</w:t>
            </w:r>
          </w:p>
        </w:tc>
      </w:tr>
    </w:tbl>
    <w:p>
      <w:pPr>
        <w:pStyle w:val="SourceCode"/>
      </w:pPr>
      <w:r>
        <w:rPr>
          <w:rStyle w:val="CommentTok"/>
        </w:rPr>
        <w:t xml:space="preserve"># one-sided intervals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confint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side =</w:t>
      </w:r>
      <w:r>
        <w:rPr>
          <w:rStyle w:val="NormalTok"/>
        </w:rPr>
        <w:t xml:space="preserve"> </w:t>
      </w:r>
      <w:r>
        <w:rPr>
          <w:rStyle w:val="String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pander</w:t>
      </w:r>
      <w:r>
        <w:rPr>
          <w:rStyle w:val="NormalTok"/>
        </w:rPr>
        <w:t xml:space="preserve">()</w:t>
      </w:r>
    </w:p>
    <w:tbl>
      <w:tblPr>
        <w:tblStyle w:val="Table"/>
        <w:tblW w:type="pct" w:w="3750"/>
        <w:tblLook w:firstRow="1" w:lastRow="0" w:firstColumn="0" w:lastColumn="0" w:noHBand="0" w:noVBand="0" w:val="0020"/>
        <w:jc w:val="start"/>
        <w:tblLayout w:type="fixed"/>
      </w:tblPr>
      <w:tblGrid>
        <w:gridCol w:w="880"/>
        <w:gridCol w:w="990"/>
        <w:gridCol w:w="990"/>
        <w:gridCol w:w="660"/>
        <w:gridCol w:w="1210"/>
        <w:gridCol w:w="1210"/>
      </w:tblGrid>
      <w:tr>
        <w:trPr>
          <w:tblHeader w:val="true"/>
        </w:trPr>
        <w:tc>
          <w:tcPr/>
          <w:p>
            <w:pPr>
              <w:pStyle w:val="Compact"/>
              <w:jc w:val="center"/>
            </w:pPr>
            <w:r>
              <w:t xml:space="preserve">diet</w:t>
            </w:r>
          </w:p>
        </w:tc>
        <w:tc>
          <w:tcPr/>
          <w:p>
            <w:pPr>
              <w:pStyle w:val="Compact"/>
              <w:jc w:val="center"/>
            </w:pPr>
            <w:r>
              <w:t xml:space="preserve">emmean</w:t>
            </w:r>
          </w:p>
        </w:tc>
        <w:tc>
          <w:tcPr/>
          <w:p>
            <w:pPr>
              <w:pStyle w:val="Compact"/>
              <w:jc w:val="center"/>
            </w:pPr>
            <w:r>
              <w:t xml:space="preserve">SE</w:t>
            </w:r>
          </w:p>
        </w:tc>
        <w:tc>
          <w:tcPr/>
          <w:p>
            <w:pPr>
              <w:pStyle w:val="Compact"/>
              <w:jc w:val="center"/>
            </w:pPr>
            <w:r>
              <w:t xml:space="preserve">df</w:t>
            </w:r>
          </w:p>
        </w:tc>
        <w:tc>
          <w:tcPr/>
          <w:p>
            <w:pPr>
              <w:pStyle w:val="Compact"/>
              <w:jc w:val="center"/>
            </w:pPr>
            <w:r>
              <w:t xml:space="preserve">lower.CL</w:t>
            </w:r>
          </w:p>
        </w:tc>
        <w:tc>
          <w:tcPr/>
          <w:p>
            <w:pPr>
              <w:pStyle w:val="Compact"/>
              <w:jc w:val="center"/>
            </w:pPr>
            <w:r>
              <w:t xml:space="preserve">upper.CL</w:t>
            </w:r>
          </w:p>
        </w:tc>
      </w:tr>
      <w:tr>
        <w:tc>
          <w:tcPr/>
          <w:p>
            <w:pPr>
              <w:pStyle w:val="Compact"/>
              <w:jc w:val="center"/>
            </w:pPr>
            <w:r>
              <w:t xml:space="preserve">NP</w:t>
            </w:r>
          </w:p>
        </w:tc>
        <w:tc>
          <w:tcPr/>
          <w:p>
            <w:pPr>
              <w:pStyle w:val="Compact"/>
              <w:jc w:val="center"/>
            </w:pPr>
            <w:r>
              <w:t xml:space="preserve">27.4</w:t>
            </w:r>
          </w:p>
        </w:tc>
        <w:tc>
          <w:tcPr/>
          <w:p>
            <w:pPr>
              <w:pStyle w:val="Compact"/>
              <w:jc w:val="center"/>
            </w:pPr>
            <w:r>
              <w:t xml:space="preserve">0.943</w:t>
            </w:r>
          </w:p>
        </w:tc>
        <w:tc>
          <w:tcPr/>
          <w:p>
            <w:pPr>
              <w:pStyle w:val="Compact"/>
              <w:jc w:val="center"/>
            </w:pPr>
            <w:r>
              <w:t xml:space="preserve">233</w:t>
            </w:r>
          </w:p>
        </w:tc>
        <w:tc>
          <w:tcPr/>
          <w:p>
            <w:pPr>
              <w:pStyle w:val="Compact"/>
              <w:jc w:val="center"/>
            </w:pPr>
            <w:r>
              <w:t xml:space="preserve">25.84</w:t>
            </w:r>
          </w:p>
        </w:tc>
        <w:tc>
          <w:tcPr/>
          <w:p>
            <w:pPr>
              <w:pStyle w:val="Compact"/>
              <w:jc w:val="center"/>
            </w:pPr>
            <w:r>
              <w:t xml:space="preserve">Inf</w:t>
            </w:r>
          </w:p>
        </w:tc>
      </w:tr>
      <w:tr>
        <w:tc>
          <w:tcPr/>
          <w:p>
            <w:pPr>
              <w:pStyle w:val="Compact"/>
              <w:jc w:val="center"/>
            </w:pPr>
            <w:r>
              <w:t xml:space="preserve">N/N85</w:t>
            </w:r>
          </w:p>
        </w:tc>
        <w:tc>
          <w:tcPr/>
          <w:p>
            <w:pPr>
              <w:pStyle w:val="Compact"/>
              <w:jc w:val="center"/>
            </w:pPr>
            <w:r>
              <w:t xml:space="preserve">32.69</w:t>
            </w:r>
          </w:p>
        </w:tc>
        <w:tc>
          <w:tcPr/>
          <w:p>
            <w:pPr>
              <w:pStyle w:val="Compact"/>
              <w:jc w:val="center"/>
            </w:pPr>
            <w:r>
              <w:t xml:space="preserve">0.8743</w:t>
            </w:r>
          </w:p>
        </w:tc>
        <w:tc>
          <w:tcPr/>
          <w:p>
            <w:pPr>
              <w:pStyle w:val="Compact"/>
              <w:jc w:val="center"/>
            </w:pPr>
            <w:r>
              <w:t xml:space="preserve">233</w:t>
            </w:r>
          </w:p>
        </w:tc>
        <w:tc>
          <w:tcPr/>
          <w:p>
            <w:pPr>
              <w:pStyle w:val="Compact"/>
              <w:jc w:val="center"/>
            </w:pPr>
            <w:r>
              <w:t xml:space="preserve">31.25</w:t>
            </w:r>
          </w:p>
        </w:tc>
        <w:tc>
          <w:tcPr/>
          <w:p>
            <w:pPr>
              <w:pStyle w:val="Compact"/>
              <w:jc w:val="center"/>
            </w:pPr>
            <w:r>
              <w:t xml:space="preserve">Inf</w:t>
            </w:r>
          </w:p>
        </w:tc>
      </w:tr>
      <w:tr>
        <w:tc>
          <w:tcPr/>
          <w:p>
            <w:pPr>
              <w:pStyle w:val="Compact"/>
              <w:jc w:val="center"/>
            </w:pPr>
            <w:r>
              <w:t xml:space="preserve">N/R50</w:t>
            </w:r>
          </w:p>
        </w:tc>
        <w:tc>
          <w:tcPr/>
          <w:p>
            <w:pPr>
              <w:pStyle w:val="Compact"/>
              <w:jc w:val="center"/>
            </w:pPr>
            <w:r>
              <w:t xml:space="preserve">42.3</w:t>
            </w:r>
          </w:p>
        </w:tc>
        <w:tc>
          <w:tcPr/>
          <w:p>
            <w:pPr>
              <w:pStyle w:val="Compact"/>
              <w:jc w:val="center"/>
            </w:pPr>
            <w:r>
              <w:t xml:space="preserve">0.7834</w:t>
            </w:r>
          </w:p>
        </w:tc>
        <w:tc>
          <w:tcPr/>
          <w:p>
            <w:pPr>
              <w:pStyle w:val="Compact"/>
              <w:jc w:val="center"/>
            </w:pPr>
            <w:r>
              <w:t xml:space="preserve">233</w:t>
            </w:r>
          </w:p>
        </w:tc>
        <w:tc>
          <w:tcPr/>
          <w:p>
            <w:pPr>
              <w:pStyle w:val="Compact"/>
              <w:jc w:val="center"/>
            </w:pPr>
            <w:r>
              <w:t xml:space="preserve">41</w:t>
            </w:r>
          </w:p>
        </w:tc>
        <w:tc>
          <w:tcPr/>
          <w:p>
            <w:pPr>
              <w:pStyle w:val="Compact"/>
              <w:jc w:val="center"/>
            </w:pPr>
            <w:r>
              <w:t xml:space="preserve">Inf</w:t>
            </w:r>
          </w:p>
        </w:tc>
      </w:tr>
      <w:tr>
        <w:tc>
          <w:tcPr/>
          <w:p>
            <w:pPr>
              <w:pStyle w:val="Compact"/>
              <w:jc w:val="center"/>
            </w:pPr>
            <w:r>
              <w:t xml:space="preserve">N/R40</w:t>
            </w:r>
          </w:p>
        </w:tc>
        <w:tc>
          <w:tcPr/>
          <w:p>
            <w:pPr>
              <w:pStyle w:val="Compact"/>
              <w:jc w:val="center"/>
            </w:pPr>
            <w:r>
              <w:t xml:space="preserve">45.12</w:t>
            </w:r>
          </w:p>
        </w:tc>
        <w:tc>
          <w:tcPr/>
          <w:p>
            <w:pPr>
              <w:pStyle w:val="Compact"/>
              <w:jc w:val="center"/>
            </w:pPr>
            <w:r>
              <w:t xml:space="preserve">0.8522</w:t>
            </w:r>
          </w:p>
        </w:tc>
        <w:tc>
          <w:tcPr/>
          <w:p>
            <w:pPr>
              <w:pStyle w:val="Compact"/>
              <w:jc w:val="center"/>
            </w:pPr>
            <w:r>
              <w:t xml:space="preserve">233</w:t>
            </w:r>
          </w:p>
        </w:tc>
        <w:tc>
          <w:tcPr/>
          <w:p>
            <w:pPr>
              <w:pStyle w:val="Compact"/>
              <w:jc w:val="center"/>
            </w:pPr>
            <w:r>
              <w:t xml:space="preserve">43.71</w:t>
            </w:r>
          </w:p>
        </w:tc>
        <w:tc>
          <w:tcPr/>
          <w:p>
            <w:pPr>
              <w:pStyle w:val="Compact"/>
              <w:jc w:val="center"/>
            </w:pPr>
            <w:r>
              <w:t xml:space="preserve">Inf</w:t>
            </w:r>
          </w:p>
        </w:tc>
      </w:tr>
    </w:tbl>
    <w:p>
      <w:pPr>
        <w:pStyle w:val="BodyText"/>
      </w:pPr>
      <w:r>
        <w:t xml:space="preserve">The inferences can also be adjusted for multiplicity using a Bonferroni correction by adding the argument</w:t>
      </w:r>
      <w:r>
        <w:t xml:space="preserve"> </w:t>
      </w:r>
      <w:r>
        <w:rPr>
          <w:rStyle w:val="VerbatimChar"/>
        </w:rPr>
        <w:t xml:space="preserve">adjust = 'bonferroni'</w:t>
      </w:r>
      <w:r>
        <w:t xml:space="preserve"> </w:t>
      </w:r>
      <w:r>
        <w:t xml:space="preserve">as shown below.</w:t>
      </w:r>
    </w:p>
    <w:p>
      <w:pPr>
        <w:pStyle w:val="SourceCode"/>
      </w:pPr>
      <w:r>
        <w:rPr>
          <w:rStyle w:val="CommentTok"/>
        </w:rPr>
        <w:t xml:space="preserve"># test whether lifetimes exceed 30 days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test</w:t>
      </w:r>
      <w:r>
        <w:rPr>
          <w:rStyle w:val="NormalTok"/>
        </w:rPr>
        <w:t xml:space="preserve">(</w:t>
      </w:r>
      <w:r>
        <w:rPr>
          <w:rStyle w:val="AttributeTok"/>
        </w:rPr>
        <w:t xml:space="preserve">null =</w:t>
      </w:r>
      <w:r>
        <w:rPr>
          <w:rStyle w:val="NormalTok"/>
        </w:rPr>
        <w:t xml:space="preserve"> </w:t>
      </w:r>
      <w:r>
        <w:rPr>
          <w:rStyle w:val="DecValTok"/>
        </w:rPr>
        <w:t xml:space="preserve">30</w:t>
      </w:r>
      <w:r>
        <w:rPr>
          <w:rStyle w:val="NormalTok"/>
        </w:rPr>
        <w:t xml:space="preserve">, </w:t>
      </w:r>
      <w:r>
        <w:rPr>
          <w:rStyle w:val="AttributeTok"/>
        </w:rPr>
        <w:t xml:space="preserve">side =</w:t>
      </w:r>
      <w:r>
        <w:rPr>
          <w:rStyle w:val="NormalTok"/>
        </w:rPr>
        <w:t xml:space="preserve"> </w:t>
      </w:r>
      <w:r>
        <w:rPr>
          <w:rStyle w:val="StringTok"/>
        </w:rPr>
        <w:t xml:space="preserve">'&gt;'</w:t>
      </w:r>
      <w:r>
        <w:rPr>
          <w:rStyle w:val="NormalTok"/>
        </w:rPr>
        <w:t xml:space="preserve">, </w:t>
      </w:r>
      <w:r>
        <w:rPr>
          <w:rStyle w:val="AttributeTok"/>
        </w:rPr>
        <w:t xml:space="preserve">adjust =</w:t>
      </w:r>
      <w:r>
        <w:rPr>
          <w:rStyle w:val="NormalTok"/>
        </w:rPr>
        <w:t xml:space="preserve"> </w:t>
      </w:r>
      <w:r>
        <w:rPr>
          <w:rStyle w:val="StringTok"/>
        </w:rPr>
        <w:t xml:space="preserve">'bonferroni'</w:t>
      </w:r>
      <w:r>
        <w:rPr>
          <w:rStyle w:val="NormalTok"/>
        </w:rPr>
        <w:t xml:space="preserve">)</w:t>
      </w:r>
      <w:r>
        <w:br/>
      </w:r>
      <w:r>
        <w:br/>
      </w:r>
      <w:r>
        <w:rPr>
          <w:rStyle w:val="CommentTok"/>
        </w:rPr>
        <w:t xml:space="preserve"># one-sided intervals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confint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side =</w:t>
      </w:r>
      <w:r>
        <w:rPr>
          <w:rStyle w:val="NormalTok"/>
        </w:rPr>
        <w:t xml:space="preserve"> </w:t>
      </w:r>
      <w:r>
        <w:rPr>
          <w:rStyle w:val="StringTok"/>
        </w:rPr>
        <w:t xml:space="preserve">'&gt;'</w:t>
      </w:r>
      <w:r>
        <w:rPr>
          <w:rStyle w:val="NormalTok"/>
        </w:rPr>
        <w:t xml:space="preserve">, </w:t>
      </w:r>
      <w:r>
        <w:rPr>
          <w:rStyle w:val="AttributeTok"/>
        </w:rPr>
        <w:t xml:space="preserve">adjust =</w:t>
      </w:r>
      <w:r>
        <w:rPr>
          <w:rStyle w:val="NormalTok"/>
        </w:rPr>
        <w:t xml:space="preserve"> </w:t>
      </w:r>
      <w:r>
        <w:rPr>
          <w:rStyle w:val="StringTok"/>
        </w:rPr>
        <w:t xml:space="preserve">'bonferroni'</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Test whether mean lifetime on each diet is less than 40 days. Adjust for multiple inferences using the Bonferroni correction</w:t>
            </w:r>
          </w:p>
          <w:p>
            <w:pPr>
              <w:pStyle w:val="SourceCode"/>
            </w:pPr>
            <w:r>
              <w:rPr>
                <w:rStyle w:val="CommentTok"/>
              </w:rPr>
              <w:t xml:space="preserve"># modify this code to test whether mean lifetime is less than 40</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test</w:t>
            </w:r>
            <w:r>
              <w:rPr>
                <w:rStyle w:val="NormalTok"/>
              </w:rPr>
              <w:t xml:space="preserve">(</w:t>
            </w:r>
            <w:r>
              <w:rPr>
                <w:rStyle w:val="AttributeTok"/>
              </w:rPr>
              <w:t xml:space="preserve">null =</w:t>
            </w:r>
            <w:r>
              <w:rPr>
                <w:rStyle w:val="NormalTok"/>
              </w:rPr>
              <w:t xml:space="preserve"> </w:t>
            </w:r>
            <w:r>
              <w:rPr>
                <w:rStyle w:val="DecValTok"/>
              </w:rPr>
              <w:t xml:space="preserve">30</w:t>
            </w:r>
            <w:r>
              <w:rPr>
                <w:rStyle w:val="NormalTok"/>
              </w:rPr>
              <w:t xml:space="preserve">, </w:t>
            </w:r>
            <w:r>
              <w:rPr>
                <w:rStyle w:val="AttributeTok"/>
              </w:rPr>
              <w:t xml:space="preserve">side =</w:t>
            </w:r>
            <w:r>
              <w:rPr>
                <w:rStyle w:val="NormalTok"/>
              </w:rPr>
              <w:t xml:space="preserve"> </w:t>
            </w:r>
            <w:r>
              <w:rPr>
                <w:rStyle w:val="StringTok"/>
              </w:rPr>
              <w:t xml:space="preserve">'&gt;'</w:t>
            </w:r>
            <w:r>
              <w:rPr>
                <w:rStyle w:val="NormalTok"/>
              </w:rPr>
              <w:t xml:space="preserve">, </w:t>
            </w:r>
            <w:r>
              <w:rPr>
                <w:rStyle w:val="AttributeTok"/>
              </w:rPr>
              <w:t xml:space="preserve">adjust =</w:t>
            </w:r>
            <w:r>
              <w:rPr>
                <w:rStyle w:val="NormalTok"/>
              </w:rPr>
              <w:t xml:space="preserve"> </w:t>
            </w:r>
            <w:r>
              <w:rPr>
                <w:rStyle w:val="StringTok"/>
              </w:rPr>
              <w:t xml:space="preserve">'bonferroni'</w:t>
            </w:r>
            <w:r>
              <w:rPr>
                <w:rStyle w:val="NormalTok"/>
              </w:rPr>
              <w:t xml:space="preserve">)</w:t>
            </w:r>
          </w:p>
        </w:tc>
      </w:tr>
    </w:tbl>
    <w:bookmarkEnd w:id="36"/>
    <w:bookmarkStart w:id="42" w:name="pairwise-comparisons"/>
    <w:p>
      <w:pPr>
        <w:pStyle w:val="Heading4"/>
      </w:pPr>
      <w:r>
        <w:t xml:space="preserve">Pairwise comparisons</w:t>
      </w:r>
    </w:p>
    <w:p>
      <w:pPr>
        <w:pStyle w:val="FirstParagraph"/>
      </w:pPr>
      <w:r>
        <w:t xml:space="preserve">Pairwise comparisons are inferences for the pairwise differences between group means. They can take the form of tests, intervals, or both; regardless, multiple inference corrections should always be applied.</w:t>
      </w:r>
    </w:p>
    <w:p>
      <w:pPr>
        <w:pStyle w:val="BodyText"/>
      </w:pPr>
      <w:r>
        <w:t xml:space="preserve">In</w:t>
      </w:r>
      <w:r>
        <w:t xml:space="preserve"> </w:t>
      </w:r>
      <w:r>
        <w:rPr>
          <w:rStyle w:val="VerbatimChar"/>
        </w:rPr>
        <w:t xml:space="preserve">emmeans</w:t>
      </w:r>
      <w:r>
        <w:t xml:space="preserve">, the</w:t>
      </w:r>
      <w:r>
        <w:t xml:space="preserve"> </w:t>
      </w:r>
      <w:r>
        <w:rPr>
          <w:rStyle w:val="VerbatimChar"/>
        </w:rPr>
        <w:t xml:space="preserve">pairs()</w:t>
      </w:r>
      <w:r>
        <w:t xml:space="preserve"> </w:t>
      </w:r>
      <w:r>
        <w:t xml:space="preserve">function can be used in conjunction with</w:t>
      </w:r>
      <w:r>
        <w:t xml:space="preserve"> </w:t>
      </w:r>
      <w:r>
        <w:rPr>
          <w:rStyle w:val="VerbatimChar"/>
        </w:rPr>
        <w:t xml:space="preserve">test()</w:t>
      </w:r>
      <w:r>
        <w:t xml:space="preserve"> </w:t>
      </w:r>
      <w:r>
        <w:t xml:space="preserve">or</w:t>
      </w:r>
      <w:r>
        <w:t xml:space="preserve"> </w:t>
      </w:r>
      <w:r>
        <w:rPr>
          <w:rStyle w:val="VerbatimChar"/>
        </w:rPr>
        <w:t xml:space="preserve">confint()</w:t>
      </w:r>
      <w:r>
        <w:t xml:space="preserve"> </w:t>
      </w:r>
      <w:r>
        <w:t xml:space="preserve">to generate estimates and tests or intervals, respectively, for all pairwise differences. There is also a plotting method.</w:t>
      </w:r>
    </w:p>
    <w:p>
      <w:pPr>
        <w:pStyle w:val="SourceCode"/>
      </w:pPr>
      <w:r>
        <w:rPr>
          <w:rStyle w:val="CommentTok"/>
        </w:rPr>
        <w:t xml:space="preserve"># pairwise comparisons: tests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pairs</w:t>
      </w:r>
      <w:r>
        <w:rPr>
          <w:rStyle w:val="NormalTok"/>
        </w:rPr>
        <w:t xml:space="preserve">() </w:t>
      </w:r>
      <w:r>
        <w:rPr>
          <w:rStyle w:val="SpecialCharTok"/>
        </w:rPr>
        <w:t xml:space="preserve">|&gt;</w:t>
      </w:r>
      <w:r>
        <w:br/>
      </w:r>
      <w:r>
        <w:rPr>
          <w:rStyle w:val="NormalTok"/>
        </w:rPr>
        <w:t xml:space="preserve">  </w:t>
      </w:r>
      <w:r>
        <w:rPr>
          <w:rStyle w:val="FunctionTok"/>
        </w:rPr>
        <w:t xml:space="preserve">test</w:t>
      </w:r>
      <w:r>
        <w:rPr>
          <w:rStyle w:val="NormalTok"/>
        </w:rPr>
        <w:t xml:space="preserve">() </w:t>
      </w:r>
      <w:r>
        <w:rPr>
          <w:rStyle w:val="SpecialCharTok"/>
        </w:rPr>
        <w:t xml:space="preserve">|&gt;</w:t>
      </w:r>
      <w:r>
        <w:br/>
      </w:r>
      <w:r>
        <w:rPr>
          <w:rStyle w:val="NormalTok"/>
        </w:rPr>
        <w:t xml:space="preserve">  </w:t>
      </w:r>
      <w:r>
        <w:rPr>
          <w:rStyle w:val="FunctionTok"/>
        </w:rPr>
        <w:t xml:space="preserve">pander</w:t>
      </w:r>
      <w:r>
        <w:rPr>
          <w:rStyle w:val="NormalTok"/>
        </w:rPr>
        <w:t xml:space="preserve">()</w:t>
      </w:r>
    </w:p>
    <w:tbl>
      <w:tblPr>
        <w:tblStyle w:val="Table"/>
        <w:tblW w:type="pct" w:w="4653"/>
        <w:tblLook w:firstRow="1" w:lastRow="0" w:firstColumn="0" w:lastColumn="0" w:noHBand="0" w:noVBand="0" w:val="0020"/>
        <w:jc w:val="start"/>
        <w:tblLayout w:type="fixed"/>
      </w:tblPr>
      <w:tblGrid>
        <w:gridCol w:w="2200"/>
        <w:gridCol w:w="1210"/>
        <w:gridCol w:w="880"/>
        <w:gridCol w:w="660"/>
        <w:gridCol w:w="1100"/>
        <w:gridCol w:w="1320"/>
      </w:tblGrid>
      <w:tr>
        <w:trPr>
          <w:tblHeader w:val="true"/>
        </w:trPr>
        <w:tc>
          <w:tcPr/>
          <w:p>
            <w:pPr>
              <w:pStyle w:val="Compact"/>
              <w:jc w:val="center"/>
            </w:pPr>
            <w:r>
              <w:t xml:space="preserve">contrast</w:t>
            </w:r>
          </w:p>
        </w:tc>
        <w:tc>
          <w:tcPr/>
          <w:p>
            <w:pPr>
              <w:pStyle w:val="Compact"/>
              <w:jc w:val="center"/>
            </w:pPr>
            <w:r>
              <w:t xml:space="preserve">estimate</w:t>
            </w:r>
          </w:p>
        </w:tc>
        <w:tc>
          <w:tcPr/>
          <w:p>
            <w:pPr>
              <w:pStyle w:val="Compact"/>
              <w:jc w:val="center"/>
            </w:pPr>
            <w:r>
              <w:t xml:space="preserve">SE</w:t>
            </w:r>
          </w:p>
        </w:tc>
        <w:tc>
          <w:tcPr/>
          <w:p>
            <w:pPr>
              <w:pStyle w:val="Compact"/>
              <w:jc w:val="center"/>
            </w:pPr>
            <w:r>
              <w:t xml:space="preserve">df</w:t>
            </w:r>
          </w:p>
        </w:tc>
        <w:tc>
          <w:tcPr/>
          <w:p>
            <w:pPr>
              <w:pStyle w:val="Compact"/>
              <w:jc w:val="center"/>
            </w:pPr>
            <w:r>
              <w:t xml:space="preserve">t.ratio</w:t>
            </w:r>
          </w:p>
        </w:tc>
        <w:tc>
          <w:tcPr/>
          <w:p>
            <w:pPr>
              <w:pStyle w:val="Compact"/>
              <w:jc w:val="center"/>
            </w:pPr>
            <w:r>
              <w:t xml:space="preserve">p.value</w:t>
            </w:r>
          </w:p>
        </w:tc>
      </w:tr>
      <w:tr>
        <w:tc>
          <w:tcPr/>
          <w:p>
            <w:pPr>
              <w:pStyle w:val="Compact"/>
              <w:jc w:val="center"/>
            </w:pPr>
            <w:r>
              <w:t xml:space="preserve">NP - (N/N85)</w:t>
            </w:r>
          </w:p>
        </w:tc>
        <w:tc>
          <w:tcPr/>
          <w:p>
            <w:pPr>
              <w:pStyle w:val="Compact"/>
              <w:jc w:val="center"/>
            </w:pPr>
            <w:r>
              <w:t xml:space="preserve">-5.289</w:t>
            </w:r>
          </w:p>
        </w:tc>
        <w:tc>
          <w:tcPr/>
          <w:p>
            <w:pPr>
              <w:pStyle w:val="Compact"/>
              <w:jc w:val="center"/>
            </w:pPr>
            <w:r>
              <w:t xml:space="preserve">1.286</w:t>
            </w:r>
          </w:p>
        </w:tc>
        <w:tc>
          <w:tcPr/>
          <w:p>
            <w:pPr>
              <w:pStyle w:val="Compact"/>
              <w:jc w:val="center"/>
            </w:pPr>
            <w:r>
              <w:t xml:space="preserve">233</w:t>
            </w:r>
          </w:p>
        </w:tc>
        <w:tc>
          <w:tcPr/>
          <w:p>
            <w:pPr>
              <w:pStyle w:val="Compact"/>
              <w:jc w:val="center"/>
            </w:pPr>
            <w:r>
              <w:t xml:space="preserve">-4.113</w:t>
            </w:r>
          </w:p>
        </w:tc>
        <w:tc>
          <w:tcPr/>
          <w:p>
            <w:pPr>
              <w:pStyle w:val="Compact"/>
              <w:jc w:val="center"/>
            </w:pPr>
            <w:r>
              <w:t xml:space="preserve">0.0003143</w:t>
            </w:r>
          </w:p>
        </w:tc>
      </w:tr>
      <w:tr>
        <w:tc>
          <w:tcPr/>
          <w:p>
            <w:pPr>
              <w:pStyle w:val="Compact"/>
              <w:jc w:val="center"/>
            </w:pPr>
            <w:r>
              <w:t xml:space="preserve">NP - (N/R50)</w:t>
            </w:r>
          </w:p>
        </w:tc>
        <w:tc>
          <w:tcPr/>
          <w:p>
            <w:pPr>
              <w:pStyle w:val="Compact"/>
              <w:jc w:val="center"/>
            </w:pPr>
            <w:r>
              <w:t xml:space="preserve">-14.9</w:t>
            </w:r>
          </w:p>
        </w:tc>
        <w:tc>
          <w:tcPr/>
          <w:p>
            <w:pPr>
              <w:pStyle w:val="Compact"/>
              <w:jc w:val="center"/>
            </w:pPr>
            <w:r>
              <w:t xml:space="preserve">1.226</w:t>
            </w:r>
          </w:p>
        </w:tc>
        <w:tc>
          <w:tcPr/>
          <w:p>
            <w:pPr>
              <w:pStyle w:val="Compact"/>
              <w:jc w:val="center"/>
            </w:pPr>
            <w:r>
              <w:t xml:space="preserve">233</w:t>
            </w:r>
          </w:p>
        </w:tc>
        <w:tc>
          <w:tcPr/>
          <w:p>
            <w:pPr>
              <w:pStyle w:val="Compact"/>
              <w:jc w:val="center"/>
            </w:pPr>
            <w:r>
              <w:t xml:space="preserve">-12.15</w:t>
            </w:r>
          </w:p>
        </w:tc>
        <w:tc>
          <w:tcPr/>
          <w:p>
            <w:pPr>
              <w:pStyle w:val="Compact"/>
              <w:jc w:val="center"/>
            </w:pPr>
            <w:r>
              <w:t xml:space="preserve">2.22e-13</w:t>
            </w:r>
          </w:p>
        </w:tc>
      </w:tr>
      <w:tr>
        <w:tc>
          <w:tcPr/>
          <w:p>
            <w:pPr>
              <w:pStyle w:val="Compact"/>
              <w:jc w:val="center"/>
            </w:pPr>
            <w:r>
              <w:t xml:space="preserve">NP - (N/R40)</w:t>
            </w:r>
          </w:p>
        </w:tc>
        <w:tc>
          <w:tcPr/>
          <w:p>
            <w:pPr>
              <w:pStyle w:val="Compact"/>
              <w:jc w:val="center"/>
            </w:pPr>
            <w:r>
              <w:t xml:space="preserve">-17.71</w:t>
            </w:r>
          </w:p>
        </w:tc>
        <w:tc>
          <w:tcPr/>
          <w:p>
            <w:pPr>
              <w:pStyle w:val="Compact"/>
              <w:jc w:val="center"/>
            </w:pPr>
            <w:r>
              <w:t xml:space="preserve">1.271</w:t>
            </w:r>
          </w:p>
        </w:tc>
        <w:tc>
          <w:tcPr/>
          <w:p>
            <w:pPr>
              <w:pStyle w:val="Compact"/>
              <w:jc w:val="center"/>
            </w:pPr>
            <w:r>
              <w:t xml:space="preserve">233</w:t>
            </w:r>
          </w:p>
        </w:tc>
        <w:tc>
          <w:tcPr/>
          <w:p>
            <w:pPr>
              <w:pStyle w:val="Compact"/>
              <w:jc w:val="center"/>
            </w:pPr>
            <w:r>
              <w:t xml:space="preserve">-13.94</w:t>
            </w:r>
          </w:p>
        </w:tc>
        <w:tc>
          <w:tcPr/>
          <w:p>
            <w:pPr>
              <w:pStyle w:val="Compact"/>
              <w:jc w:val="center"/>
            </w:pPr>
            <w:r>
              <w:t xml:space="preserve">2.207e-13</w:t>
            </w:r>
          </w:p>
        </w:tc>
      </w:tr>
      <w:tr>
        <w:tc>
          <w:tcPr/>
          <w:p>
            <w:pPr>
              <w:pStyle w:val="Compact"/>
              <w:jc w:val="center"/>
            </w:pPr>
            <w:r>
              <w:t xml:space="preserve">(N/N85) - (N/R50)</w:t>
            </w:r>
          </w:p>
        </w:tc>
        <w:tc>
          <w:tcPr/>
          <w:p>
            <w:pPr>
              <w:pStyle w:val="Compact"/>
              <w:jc w:val="center"/>
            </w:pPr>
            <w:r>
              <w:t xml:space="preserve">-9.606</w:t>
            </w:r>
          </w:p>
        </w:tc>
        <w:tc>
          <w:tcPr/>
          <w:p>
            <w:pPr>
              <w:pStyle w:val="Compact"/>
              <w:jc w:val="center"/>
            </w:pPr>
            <w:r>
              <w:t xml:space="preserve">1.174</w:t>
            </w:r>
          </w:p>
        </w:tc>
        <w:tc>
          <w:tcPr/>
          <w:p>
            <w:pPr>
              <w:pStyle w:val="Compact"/>
              <w:jc w:val="center"/>
            </w:pPr>
            <w:r>
              <w:t xml:space="preserve">233</w:t>
            </w:r>
          </w:p>
        </w:tc>
        <w:tc>
          <w:tcPr/>
          <w:p>
            <w:pPr>
              <w:pStyle w:val="Compact"/>
              <w:jc w:val="center"/>
            </w:pPr>
            <w:r>
              <w:t xml:space="preserve">-8.183</w:t>
            </w:r>
          </w:p>
        </w:tc>
        <w:tc>
          <w:tcPr/>
          <w:p>
            <w:pPr>
              <w:pStyle w:val="Compact"/>
              <w:jc w:val="center"/>
            </w:pPr>
            <w:r>
              <w:t xml:space="preserve">3.693e-13</w:t>
            </w:r>
          </w:p>
        </w:tc>
      </w:tr>
      <w:tr>
        <w:tc>
          <w:tcPr/>
          <w:p>
            <w:pPr>
              <w:pStyle w:val="Compact"/>
              <w:jc w:val="center"/>
            </w:pPr>
            <w:r>
              <w:t xml:space="preserve">(N/N85) - (N/R40)</w:t>
            </w:r>
          </w:p>
        </w:tc>
        <w:tc>
          <w:tcPr/>
          <w:p>
            <w:pPr>
              <w:pStyle w:val="Compact"/>
              <w:jc w:val="center"/>
            </w:pPr>
            <w:r>
              <w:t xml:space="preserve">-12.43</w:t>
            </w:r>
          </w:p>
        </w:tc>
        <w:tc>
          <w:tcPr/>
          <w:p>
            <w:pPr>
              <w:pStyle w:val="Compact"/>
              <w:jc w:val="center"/>
            </w:pPr>
            <w:r>
              <w:t xml:space="preserve">1.221</w:t>
            </w:r>
          </w:p>
        </w:tc>
        <w:tc>
          <w:tcPr/>
          <w:p>
            <w:pPr>
              <w:pStyle w:val="Compact"/>
              <w:jc w:val="center"/>
            </w:pPr>
            <w:r>
              <w:t xml:space="preserve">233</w:t>
            </w:r>
          </w:p>
        </w:tc>
        <w:tc>
          <w:tcPr/>
          <w:p>
            <w:pPr>
              <w:pStyle w:val="Compact"/>
              <w:jc w:val="center"/>
            </w:pPr>
            <w:r>
              <w:t xml:space="preserve">-10.18</w:t>
            </w:r>
          </w:p>
        </w:tc>
        <w:tc>
          <w:tcPr/>
          <w:p>
            <w:pPr>
              <w:pStyle w:val="Compact"/>
              <w:jc w:val="center"/>
            </w:pPr>
            <w:r>
              <w:t xml:space="preserve">2.573e-13</w:t>
            </w:r>
          </w:p>
        </w:tc>
      </w:tr>
      <w:tr>
        <w:tc>
          <w:tcPr/>
          <w:p>
            <w:pPr>
              <w:pStyle w:val="Compact"/>
              <w:jc w:val="center"/>
            </w:pPr>
            <w:r>
              <w:t xml:space="preserve">(N/R50) - (N/R40)</w:t>
            </w:r>
          </w:p>
        </w:tc>
        <w:tc>
          <w:tcPr/>
          <w:p>
            <w:pPr>
              <w:pStyle w:val="Compact"/>
              <w:jc w:val="center"/>
            </w:pPr>
            <w:r>
              <w:t xml:space="preserve">-2.819</w:t>
            </w:r>
          </w:p>
        </w:tc>
        <w:tc>
          <w:tcPr/>
          <w:p>
            <w:pPr>
              <w:pStyle w:val="Compact"/>
              <w:jc w:val="center"/>
            </w:pPr>
            <w:r>
              <w:t xml:space="preserve">1.158</w:t>
            </w:r>
          </w:p>
        </w:tc>
        <w:tc>
          <w:tcPr/>
          <w:p>
            <w:pPr>
              <w:pStyle w:val="Compact"/>
              <w:jc w:val="center"/>
            </w:pPr>
            <w:r>
              <w:t xml:space="preserve">233</w:t>
            </w:r>
          </w:p>
        </w:tc>
        <w:tc>
          <w:tcPr/>
          <w:p>
            <w:pPr>
              <w:pStyle w:val="Compact"/>
              <w:jc w:val="center"/>
            </w:pPr>
            <w:r>
              <w:t xml:space="preserve">-2.436</w:t>
            </w:r>
          </w:p>
        </w:tc>
        <w:tc>
          <w:tcPr/>
          <w:p>
            <w:pPr>
              <w:pStyle w:val="Compact"/>
              <w:jc w:val="center"/>
            </w:pPr>
            <w:r>
              <w:t xml:space="preserve">0.07326</w:t>
            </w:r>
          </w:p>
        </w:tc>
      </w:tr>
    </w:tbl>
    <w:p>
      <w:pPr>
        <w:pStyle w:val="SourceCode"/>
      </w:pPr>
      <w:r>
        <w:rPr>
          <w:rStyle w:val="CommentTok"/>
        </w:rPr>
        <w:t xml:space="preserve"># pairwise comparisons: intervals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pairs</w:t>
      </w:r>
      <w:r>
        <w:rPr>
          <w:rStyle w:val="NormalTok"/>
        </w:rPr>
        <w:t xml:space="preserve">() </w:t>
      </w:r>
      <w:r>
        <w:rPr>
          <w:rStyle w:val="SpecialCharTok"/>
        </w:rPr>
        <w:t xml:space="preserve">|&gt;</w:t>
      </w:r>
      <w:r>
        <w:br/>
      </w:r>
      <w:r>
        <w:rPr>
          <w:rStyle w:val="NormalTok"/>
        </w:rPr>
        <w:t xml:space="preserve">  </w:t>
      </w:r>
      <w:r>
        <w:rPr>
          <w:rStyle w:val="FunctionTok"/>
        </w:rPr>
        <w:t xml:space="preserve">confint</w:t>
      </w:r>
      <w:r>
        <w:rPr>
          <w:rStyle w:val="NormalTok"/>
        </w:rPr>
        <w:t xml:space="preserve">() </w:t>
      </w:r>
      <w:r>
        <w:rPr>
          <w:rStyle w:val="SpecialCharTok"/>
        </w:rPr>
        <w:t xml:space="preserve">|&gt;</w:t>
      </w:r>
      <w:r>
        <w:br/>
      </w:r>
      <w:r>
        <w:rPr>
          <w:rStyle w:val="NormalTok"/>
        </w:rPr>
        <w:t xml:space="preserve">  </w:t>
      </w:r>
      <w:r>
        <w:rPr>
          <w:rStyle w:val="FunctionTok"/>
        </w:rPr>
        <w:t xml:space="preserve">pander</w:t>
      </w:r>
      <w:r>
        <w:rPr>
          <w:rStyle w:val="NormalTok"/>
        </w:rPr>
        <w:t xml:space="preserve">()</w:t>
      </w:r>
    </w:p>
    <w:tbl>
      <w:tblPr>
        <w:tblStyle w:val="Table"/>
        <w:tblW w:type="pct" w:w="4653"/>
        <w:tblLook w:firstRow="1" w:lastRow="0" w:firstColumn="0" w:lastColumn="0" w:noHBand="0" w:noVBand="0" w:val="0020"/>
        <w:jc w:val="start"/>
        <w:tblLayout w:type="fixed"/>
      </w:tblPr>
      <w:tblGrid>
        <w:gridCol w:w="2200"/>
        <w:gridCol w:w="1210"/>
        <w:gridCol w:w="880"/>
        <w:gridCol w:w="660"/>
        <w:gridCol w:w="1210"/>
        <w:gridCol w:w="1210"/>
      </w:tblGrid>
      <w:tr>
        <w:trPr>
          <w:tblHeader w:val="true"/>
        </w:trPr>
        <w:tc>
          <w:tcPr/>
          <w:p>
            <w:pPr>
              <w:pStyle w:val="Compact"/>
              <w:jc w:val="center"/>
            </w:pPr>
            <w:r>
              <w:t xml:space="preserve">contrast</w:t>
            </w:r>
          </w:p>
        </w:tc>
        <w:tc>
          <w:tcPr/>
          <w:p>
            <w:pPr>
              <w:pStyle w:val="Compact"/>
              <w:jc w:val="center"/>
            </w:pPr>
            <w:r>
              <w:t xml:space="preserve">estimate</w:t>
            </w:r>
          </w:p>
        </w:tc>
        <w:tc>
          <w:tcPr/>
          <w:p>
            <w:pPr>
              <w:pStyle w:val="Compact"/>
              <w:jc w:val="center"/>
            </w:pPr>
            <w:r>
              <w:t xml:space="preserve">SE</w:t>
            </w:r>
          </w:p>
        </w:tc>
        <w:tc>
          <w:tcPr/>
          <w:p>
            <w:pPr>
              <w:pStyle w:val="Compact"/>
              <w:jc w:val="center"/>
            </w:pPr>
            <w:r>
              <w:t xml:space="preserve">df</w:t>
            </w:r>
          </w:p>
        </w:tc>
        <w:tc>
          <w:tcPr/>
          <w:p>
            <w:pPr>
              <w:pStyle w:val="Compact"/>
              <w:jc w:val="center"/>
            </w:pPr>
            <w:r>
              <w:t xml:space="preserve">lower.CL</w:t>
            </w:r>
          </w:p>
        </w:tc>
        <w:tc>
          <w:tcPr/>
          <w:p>
            <w:pPr>
              <w:pStyle w:val="Compact"/>
              <w:jc w:val="center"/>
            </w:pPr>
            <w:r>
              <w:t xml:space="preserve">upper.CL</w:t>
            </w:r>
          </w:p>
        </w:tc>
      </w:tr>
      <w:tr>
        <w:tc>
          <w:tcPr/>
          <w:p>
            <w:pPr>
              <w:pStyle w:val="Compact"/>
              <w:jc w:val="center"/>
            </w:pPr>
            <w:r>
              <w:t xml:space="preserve">NP - (N/N85)</w:t>
            </w:r>
          </w:p>
        </w:tc>
        <w:tc>
          <w:tcPr/>
          <w:p>
            <w:pPr>
              <w:pStyle w:val="Compact"/>
              <w:jc w:val="center"/>
            </w:pPr>
            <w:r>
              <w:t xml:space="preserve">-5.289</w:t>
            </w:r>
          </w:p>
        </w:tc>
        <w:tc>
          <w:tcPr/>
          <w:p>
            <w:pPr>
              <w:pStyle w:val="Compact"/>
              <w:jc w:val="center"/>
            </w:pPr>
            <w:r>
              <w:t xml:space="preserve">1.286</w:t>
            </w:r>
          </w:p>
        </w:tc>
        <w:tc>
          <w:tcPr/>
          <w:p>
            <w:pPr>
              <w:pStyle w:val="Compact"/>
              <w:jc w:val="center"/>
            </w:pPr>
            <w:r>
              <w:t xml:space="preserve">233</w:t>
            </w:r>
          </w:p>
        </w:tc>
        <w:tc>
          <w:tcPr/>
          <w:p>
            <w:pPr>
              <w:pStyle w:val="Compact"/>
              <w:jc w:val="center"/>
            </w:pPr>
            <w:r>
              <w:t xml:space="preserve">-8.617</w:t>
            </w:r>
          </w:p>
        </w:tc>
        <w:tc>
          <w:tcPr/>
          <w:p>
            <w:pPr>
              <w:pStyle w:val="Compact"/>
              <w:jc w:val="center"/>
            </w:pPr>
            <w:r>
              <w:t xml:space="preserve">-1.962</w:t>
            </w:r>
          </w:p>
        </w:tc>
      </w:tr>
      <w:tr>
        <w:tc>
          <w:tcPr/>
          <w:p>
            <w:pPr>
              <w:pStyle w:val="Compact"/>
              <w:jc w:val="center"/>
            </w:pPr>
            <w:r>
              <w:t xml:space="preserve">NP - (N/R50)</w:t>
            </w:r>
          </w:p>
        </w:tc>
        <w:tc>
          <w:tcPr/>
          <w:p>
            <w:pPr>
              <w:pStyle w:val="Compact"/>
              <w:jc w:val="center"/>
            </w:pPr>
            <w:r>
              <w:t xml:space="preserve">-14.9</w:t>
            </w:r>
          </w:p>
        </w:tc>
        <w:tc>
          <w:tcPr/>
          <w:p>
            <w:pPr>
              <w:pStyle w:val="Compact"/>
              <w:jc w:val="center"/>
            </w:pPr>
            <w:r>
              <w:t xml:space="preserve">1.226</w:t>
            </w:r>
          </w:p>
        </w:tc>
        <w:tc>
          <w:tcPr/>
          <w:p>
            <w:pPr>
              <w:pStyle w:val="Compact"/>
              <w:jc w:val="center"/>
            </w:pPr>
            <w:r>
              <w:t xml:space="preserve">233</w:t>
            </w:r>
          </w:p>
        </w:tc>
        <w:tc>
          <w:tcPr/>
          <w:p>
            <w:pPr>
              <w:pStyle w:val="Compact"/>
              <w:jc w:val="center"/>
            </w:pPr>
            <w:r>
              <w:t xml:space="preserve">-18.07</w:t>
            </w:r>
          </w:p>
        </w:tc>
        <w:tc>
          <w:tcPr/>
          <w:p>
            <w:pPr>
              <w:pStyle w:val="Compact"/>
              <w:jc w:val="center"/>
            </w:pPr>
            <w:r>
              <w:t xml:space="preserve">-11.72</w:t>
            </w:r>
          </w:p>
        </w:tc>
      </w:tr>
      <w:tr>
        <w:tc>
          <w:tcPr/>
          <w:p>
            <w:pPr>
              <w:pStyle w:val="Compact"/>
              <w:jc w:val="center"/>
            </w:pPr>
            <w:r>
              <w:t xml:space="preserve">NP - (N/R40)</w:t>
            </w:r>
          </w:p>
        </w:tc>
        <w:tc>
          <w:tcPr/>
          <w:p>
            <w:pPr>
              <w:pStyle w:val="Compact"/>
              <w:jc w:val="center"/>
            </w:pPr>
            <w:r>
              <w:t xml:space="preserve">-17.71</w:t>
            </w:r>
          </w:p>
        </w:tc>
        <w:tc>
          <w:tcPr/>
          <w:p>
            <w:pPr>
              <w:pStyle w:val="Compact"/>
              <w:jc w:val="center"/>
            </w:pPr>
            <w:r>
              <w:t xml:space="preserve">1.271</w:t>
            </w:r>
          </w:p>
        </w:tc>
        <w:tc>
          <w:tcPr/>
          <w:p>
            <w:pPr>
              <w:pStyle w:val="Compact"/>
              <w:jc w:val="center"/>
            </w:pPr>
            <w:r>
              <w:t xml:space="preserve">233</w:t>
            </w:r>
          </w:p>
        </w:tc>
        <w:tc>
          <w:tcPr/>
          <w:p>
            <w:pPr>
              <w:pStyle w:val="Compact"/>
              <w:jc w:val="center"/>
            </w:pPr>
            <w:r>
              <w:t xml:space="preserve">-21</w:t>
            </w:r>
          </w:p>
        </w:tc>
        <w:tc>
          <w:tcPr/>
          <w:p>
            <w:pPr>
              <w:pStyle w:val="Compact"/>
              <w:jc w:val="center"/>
            </w:pPr>
            <w:r>
              <w:t xml:space="preserve">-14.43</w:t>
            </w:r>
          </w:p>
        </w:tc>
      </w:tr>
      <w:tr>
        <w:tc>
          <w:tcPr/>
          <w:p>
            <w:pPr>
              <w:pStyle w:val="Compact"/>
              <w:jc w:val="center"/>
            </w:pPr>
            <w:r>
              <w:t xml:space="preserve">(N/N85) - (N/R50)</w:t>
            </w:r>
          </w:p>
        </w:tc>
        <w:tc>
          <w:tcPr/>
          <w:p>
            <w:pPr>
              <w:pStyle w:val="Compact"/>
              <w:jc w:val="center"/>
            </w:pPr>
            <w:r>
              <w:t xml:space="preserve">-9.606</w:t>
            </w:r>
          </w:p>
        </w:tc>
        <w:tc>
          <w:tcPr/>
          <w:p>
            <w:pPr>
              <w:pStyle w:val="Compact"/>
              <w:jc w:val="center"/>
            </w:pPr>
            <w:r>
              <w:t xml:space="preserve">1.174</w:t>
            </w:r>
          </w:p>
        </w:tc>
        <w:tc>
          <w:tcPr/>
          <w:p>
            <w:pPr>
              <w:pStyle w:val="Compact"/>
              <w:jc w:val="center"/>
            </w:pPr>
            <w:r>
              <w:t xml:space="preserve">233</w:t>
            </w:r>
          </w:p>
        </w:tc>
        <w:tc>
          <w:tcPr/>
          <w:p>
            <w:pPr>
              <w:pStyle w:val="Compact"/>
              <w:jc w:val="center"/>
            </w:pPr>
            <w:r>
              <w:t xml:space="preserve">-12.64</w:t>
            </w:r>
          </w:p>
        </w:tc>
        <w:tc>
          <w:tcPr/>
          <w:p>
            <w:pPr>
              <w:pStyle w:val="Compact"/>
              <w:jc w:val="center"/>
            </w:pPr>
            <w:r>
              <w:t xml:space="preserve">-6.568</w:t>
            </w:r>
          </w:p>
        </w:tc>
      </w:tr>
      <w:tr>
        <w:tc>
          <w:tcPr/>
          <w:p>
            <w:pPr>
              <w:pStyle w:val="Compact"/>
              <w:jc w:val="center"/>
            </w:pPr>
            <w:r>
              <w:t xml:space="preserve">(N/N85) - (N/R40)</w:t>
            </w:r>
          </w:p>
        </w:tc>
        <w:tc>
          <w:tcPr/>
          <w:p>
            <w:pPr>
              <w:pStyle w:val="Compact"/>
              <w:jc w:val="center"/>
            </w:pPr>
            <w:r>
              <w:t xml:space="preserve">-12.43</w:t>
            </w:r>
          </w:p>
        </w:tc>
        <w:tc>
          <w:tcPr/>
          <w:p>
            <w:pPr>
              <w:pStyle w:val="Compact"/>
              <w:jc w:val="center"/>
            </w:pPr>
            <w:r>
              <w:t xml:space="preserve">1.221</w:t>
            </w:r>
          </w:p>
        </w:tc>
        <w:tc>
          <w:tcPr/>
          <w:p>
            <w:pPr>
              <w:pStyle w:val="Compact"/>
              <w:jc w:val="center"/>
            </w:pPr>
            <w:r>
              <w:t xml:space="preserve">233</w:t>
            </w:r>
          </w:p>
        </w:tc>
        <w:tc>
          <w:tcPr/>
          <w:p>
            <w:pPr>
              <w:pStyle w:val="Compact"/>
              <w:jc w:val="center"/>
            </w:pPr>
            <w:r>
              <w:t xml:space="preserve">-15.58</w:t>
            </w:r>
          </w:p>
        </w:tc>
        <w:tc>
          <w:tcPr/>
          <w:p>
            <w:pPr>
              <w:pStyle w:val="Compact"/>
              <w:jc w:val="center"/>
            </w:pPr>
            <w:r>
              <w:t xml:space="preserve">-9.266</w:t>
            </w:r>
          </w:p>
        </w:tc>
      </w:tr>
      <w:tr>
        <w:tc>
          <w:tcPr/>
          <w:p>
            <w:pPr>
              <w:pStyle w:val="Compact"/>
              <w:jc w:val="center"/>
            </w:pPr>
            <w:r>
              <w:t xml:space="preserve">(N/R50) - (N/R40)</w:t>
            </w:r>
          </w:p>
        </w:tc>
        <w:tc>
          <w:tcPr/>
          <w:p>
            <w:pPr>
              <w:pStyle w:val="Compact"/>
              <w:jc w:val="center"/>
            </w:pPr>
            <w:r>
              <w:t xml:space="preserve">-2.819</w:t>
            </w:r>
          </w:p>
        </w:tc>
        <w:tc>
          <w:tcPr/>
          <w:p>
            <w:pPr>
              <w:pStyle w:val="Compact"/>
              <w:jc w:val="center"/>
            </w:pPr>
            <w:r>
              <w:t xml:space="preserve">1.158</w:t>
            </w:r>
          </w:p>
        </w:tc>
        <w:tc>
          <w:tcPr/>
          <w:p>
            <w:pPr>
              <w:pStyle w:val="Compact"/>
              <w:jc w:val="center"/>
            </w:pPr>
            <w:r>
              <w:t xml:space="preserve">233</w:t>
            </w:r>
          </w:p>
        </w:tc>
        <w:tc>
          <w:tcPr/>
          <w:p>
            <w:pPr>
              <w:pStyle w:val="Compact"/>
              <w:jc w:val="center"/>
            </w:pPr>
            <w:r>
              <w:t xml:space="preserve">-5.815</w:t>
            </w:r>
          </w:p>
        </w:tc>
        <w:tc>
          <w:tcPr/>
          <w:p>
            <w:pPr>
              <w:pStyle w:val="Compact"/>
              <w:jc w:val="center"/>
            </w:pPr>
            <w:r>
              <w:t xml:space="preserve">0.1758</w:t>
            </w:r>
          </w:p>
        </w:tc>
      </w:tr>
    </w:tbl>
    <w:p>
      <w:pPr>
        <w:pStyle w:val="SourceCode"/>
      </w:pPr>
      <w:r>
        <w:rPr>
          <w:rStyle w:val="CommentTok"/>
        </w:rPr>
        <w:t xml:space="preserve"># plotting method</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pairs</w:t>
      </w:r>
      <w:r>
        <w:rPr>
          <w:rStyle w:val="NormalTok"/>
        </w:rPr>
        <w:t xml:space="preserve">() </w:t>
      </w:r>
      <w:r>
        <w:rPr>
          <w:rStyle w:val="SpecialCharTok"/>
        </w:rPr>
        <w:t xml:space="preserve">|&gt;</w:t>
      </w:r>
      <w:r>
        <w:br/>
      </w:r>
      <w:r>
        <w:rPr>
          <w:rStyle w:val="NormalTok"/>
        </w:rPr>
        <w:t xml:space="preserve">  </w:t>
      </w:r>
      <w:r>
        <w:rPr>
          <w:rStyle w:val="FunctionTok"/>
        </w:rPr>
        <w:t xml:space="preserve">plot</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lab12-pairwise_files/figure-docx/pairwise%20comparisons-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Experiment with the multiple correction methods by adding an</w:t>
            </w:r>
            <w:r>
              <w:t xml:space="preserve"> </w:t>
            </w:r>
            <w:r>
              <w:rPr>
                <w:rStyle w:val="VerbatimChar"/>
              </w:rPr>
              <w:t xml:space="preserve">adjust = ...</w:t>
            </w:r>
            <w:r>
              <w:t xml:space="preserve"> </w:t>
            </w:r>
            <w:r>
              <w:t xml:space="preserve">argument with one of the following values:</w:t>
            </w:r>
          </w:p>
          <w:p>
            <w:pPr>
              <w:numPr>
                <w:ilvl w:val="0"/>
                <w:numId w:val="1004"/>
              </w:numPr>
              <w:pStyle w:val="Compact"/>
            </w:pPr>
            <w:r>
              <w:rPr>
                <w:rStyle w:val="VerbatimChar"/>
              </w:rPr>
              <w:t xml:space="preserve">tukey</w:t>
            </w:r>
            <w:r>
              <w:t xml:space="preserve"> </w:t>
            </w:r>
            <w:r>
              <w:t xml:space="preserve">is the default</w:t>
            </w:r>
          </w:p>
          <w:p>
            <w:pPr>
              <w:numPr>
                <w:ilvl w:val="0"/>
                <w:numId w:val="1004"/>
              </w:numPr>
              <w:pStyle w:val="Compact"/>
            </w:pPr>
            <w:r>
              <w:rPr>
                <w:rStyle w:val="VerbatimChar"/>
              </w:rPr>
              <w:t xml:space="preserve">bonferroni</w:t>
            </w:r>
          </w:p>
          <w:p>
            <w:pPr>
              <w:numPr>
                <w:ilvl w:val="0"/>
                <w:numId w:val="1004"/>
              </w:numPr>
              <w:pStyle w:val="Compact"/>
            </w:pPr>
            <w:r>
              <w:rPr>
                <w:rStyle w:val="VerbatimChar"/>
              </w:rPr>
              <w:t xml:space="preserve">scheffe</w:t>
            </w:r>
          </w:p>
          <w:p>
            <w:pPr>
              <w:numPr>
                <w:ilvl w:val="0"/>
                <w:numId w:val="1004"/>
              </w:numPr>
              <w:pStyle w:val="Compact"/>
            </w:pPr>
            <w:r>
              <w:rPr>
                <w:rStyle w:val="VerbatimChar"/>
              </w:rPr>
              <w:t xml:space="preserve">holm</w:t>
            </w:r>
          </w:p>
          <w:p>
            <w:pPr>
              <w:numPr>
                <w:ilvl w:val="0"/>
                <w:numId w:val="1004"/>
              </w:numPr>
              <w:pStyle w:val="Compact"/>
            </w:pPr>
            <w:r>
              <w:rPr>
                <w:rStyle w:val="VerbatimChar"/>
              </w:rPr>
              <w:t xml:space="preserve">hochberg</w:t>
            </w:r>
          </w:p>
          <w:p>
            <w:pPr>
              <w:pStyle w:val="FirstParagraph"/>
            </w:pPr>
            <w:r>
              <w:t xml:space="preserve">It’s easiest to see the effect by examining adjusted</w:t>
            </w:r>
            <w:r>
              <w:t xml:space="preserve"> </w:t>
            </w:r>
            <m:oMath>
              <m:r>
                <m:t>p</m:t>
              </m:r>
            </m:oMath>
            <w:r>
              <w:t xml:space="preserve">-values rather than interval endpoints. Focus on the last contrast between the two levels of restriction</w:t>
            </w:r>
            <w:r>
              <w:t xml:space="preserve"> </w:t>
            </w:r>
            <w:r>
              <w:rPr>
                <w:rStyle w:val="VerbatimChar"/>
              </w:rPr>
              <w:t xml:space="preserve">N/R50 - N/R40</w:t>
            </w:r>
            <w:r>
              <w:t xml:space="preserve">. Do the methods agree?</w:t>
            </w:r>
          </w:p>
          <w:p>
            <w:pPr>
              <w:pStyle w:val="SourceCode"/>
            </w:pPr>
            <w:r>
              <w:rPr>
                <w:rStyle w:val="CommentTok"/>
              </w:rPr>
              <w:t xml:space="preserve"># try changing the multiple inference adjustment</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pairs</w:t>
            </w:r>
            <w:r>
              <w:rPr>
                <w:rStyle w:val="NormalTok"/>
              </w:rPr>
              <w:t xml:space="preserve">() </w:t>
            </w:r>
            <w:r>
              <w:rPr>
                <w:rStyle w:val="SpecialCharTok"/>
              </w:rPr>
              <w:t xml:space="preserve">|&gt;</w:t>
            </w:r>
            <w:r>
              <w:br/>
            </w:r>
            <w:r>
              <w:rPr>
                <w:rStyle w:val="NormalTok"/>
              </w:rPr>
              <w:t xml:space="preserve">  </w:t>
            </w:r>
            <w:r>
              <w:rPr>
                <w:rStyle w:val="FunctionTok"/>
              </w:rPr>
              <w:t xml:space="preserve">test</w:t>
            </w:r>
            <w:r>
              <w:rPr>
                <w:rStyle w:val="NormalTok"/>
              </w:rPr>
              <w:t xml:space="preserve">(</w:t>
            </w:r>
            <w:r>
              <w:rPr>
                <w:rStyle w:val="AttributeTok"/>
              </w:rPr>
              <w:t xml:space="preserve">adjust =</w:t>
            </w:r>
            <w:r>
              <w:rPr>
                <w:rStyle w:val="NormalTok"/>
              </w:rPr>
              <w:t xml:space="preserve"> </w:t>
            </w:r>
            <w:r>
              <w:rPr>
                <w:rStyle w:val="StringTok"/>
              </w:rPr>
              <w:t xml:space="preserve">'tukey'</w:t>
            </w:r>
            <w:r>
              <w:rPr>
                <w:rStyle w:val="NormalTok"/>
              </w:rPr>
              <w:t xml:space="preserve">) </w:t>
            </w:r>
          </w:p>
        </w:tc>
      </w:tr>
    </w:tbl>
    <w:bookmarkEnd w:id="42"/>
    <w:bookmarkStart w:id="45" w:name="comparisons-involving-a-control"/>
    <w:p>
      <w:pPr>
        <w:pStyle w:val="Heading4"/>
      </w:pPr>
      <w:r>
        <w:t xml:space="preserve">Comparisons involving a control</w:t>
      </w:r>
    </w:p>
    <w:p>
      <w:pPr>
        <w:pStyle w:val="FirstParagraph"/>
      </w:pPr>
      <w:r>
        <w:t xml:space="preserve">In the special case where one wishes to conduct multiple comparisons relative to a control, Dunnett’s method provides a better multiple inference correction.</w:t>
      </w:r>
    </w:p>
    <w:p>
      <w:pPr>
        <w:pStyle w:val="BodyText"/>
      </w:pPr>
      <w:r>
        <w:t xml:space="preserve">Implementing these comparisons requires that the grouping variable be a factor whose first level is the control group. Provided this is the case, adding</w:t>
      </w:r>
      <w:r>
        <w:t xml:space="preserve"> </w:t>
      </w:r>
      <w:r>
        <w:rPr>
          <w:rStyle w:val="VerbatimChar"/>
        </w:rPr>
        <w:t xml:space="preserve">trt.vs.ctrl</w:t>
      </w:r>
      <w:r>
        <w:t xml:space="preserve"> </w:t>
      </w:r>
      <w:r>
        <w:t xml:space="preserve">to the left-hand-side of the formula argument to</w:t>
      </w:r>
      <w:r>
        <w:t xml:space="preserve"> </w:t>
      </w:r>
      <w:r>
        <w:rPr>
          <w:rStyle w:val="VerbatimChar"/>
        </w:rPr>
        <w:t xml:space="preserve">emmeans()</w:t>
      </w:r>
      <w:r>
        <w:t xml:space="preserve"> </w:t>
      </w:r>
      <w:r>
        <w:t xml:space="preserve">will generate the contrasts of interest.</w:t>
      </w:r>
    </w:p>
    <w:p>
      <w:pPr>
        <w:pStyle w:val="SourceCode"/>
      </w:pPr>
      <w:r>
        <w:rPr>
          <w:rStyle w:val="CommentTok"/>
        </w:rPr>
        <w:t xml:space="preserve"># generate contrasts that compare with control</w:t>
      </w:r>
      <w:r>
        <w:br/>
      </w:r>
      <w:r>
        <w:rPr>
          <w:rStyle w:val="FunctionTok"/>
        </w:rPr>
        <w:t xml:space="preserve">emmeans</w:t>
      </w:r>
      <w:r>
        <w:rPr>
          <w:rStyle w:val="NormalTok"/>
        </w:rPr>
        <w:t xml:space="preserve">(fit, trt.vs.ctrl </w:t>
      </w:r>
      <w:r>
        <w:rPr>
          <w:rStyle w:val="SpecialCharTok"/>
        </w:rPr>
        <w:t xml:space="preserve">~</w:t>
      </w:r>
      <w:r>
        <w:rPr>
          <w:rStyle w:val="NormalTok"/>
        </w:rPr>
        <w:t xml:space="preserve"> diet)</w:t>
      </w:r>
    </w:p>
    <w:p>
      <w:pPr>
        <w:pStyle w:val="SourceCode"/>
      </w:pPr>
      <w:r>
        <w:rPr>
          <w:rStyle w:val="VerbatimChar"/>
        </w:rPr>
        <w:t xml:space="preserve">$emmeans</w:t>
      </w:r>
      <w:r>
        <w:br/>
      </w:r>
      <w:r>
        <w:rPr>
          <w:rStyle w:val="VerbatimChar"/>
        </w:rPr>
        <w:t xml:space="preserve"> diet  emmean    SE  df lower.CL upper.CL</w:t>
      </w:r>
      <w:r>
        <w:br/>
      </w:r>
      <w:r>
        <w:rPr>
          <w:rStyle w:val="VerbatimChar"/>
        </w:rPr>
        <w:t xml:space="preserve"> NP      27.4 0.943 233     25.5     29.3</w:t>
      </w:r>
      <w:r>
        <w:br/>
      </w:r>
      <w:r>
        <w:rPr>
          <w:rStyle w:val="VerbatimChar"/>
        </w:rPr>
        <w:t xml:space="preserve"> N/N85   32.7 0.874 233     31.0     34.4</w:t>
      </w:r>
      <w:r>
        <w:br/>
      </w:r>
      <w:r>
        <w:rPr>
          <w:rStyle w:val="VerbatimChar"/>
        </w:rPr>
        <w:t xml:space="preserve"> N/R50   42.3 0.783 233     40.8     43.8</w:t>
      </w:r>
      <w:r>
        <w:br/>
      </w:r>
      <w:r>
        <w:rPr>
          <w:rStyle w:val="VerbatimChar"/>
        </w:rPr>
        <w:t xml:space="preserve"> N/R40   45.1 0.852 233     43.4     46.8</w:t>
      </w:r>
      <w:r>
        <w:br/>
      </w:r>
      <w:r>
        <w:br/>
      </w:r>
      <w:r>
        <w:rPr>
          <w:rStyle w:val="VerbatimChar"/>
        </w:rPr>
        <w:t xml:space="preserve">Confidence level used: 0.95 </w:t>
      </w:r>
      <w:r>
        <w:br/>
      </w:r>
      <w:r>
        <w:br/>
      </w:r>
      <w:r>
        <w:rPr>
          <w:rStyle w:val="VerbatimChar"/>
        </w:rPr>
        <w:t xml:space="preserve">$contrasts</w:t>
      </w:r>
      <w:r>
        <w:br/>
      </w:r>
      <w:r>
        <w:rPr>
          <w:rStyle w:val="VerbatimChar"/>
        </w:rPr>
        <w:t xml:space="preserve"> contrast     estimate   SE  df t.ratio p.value</w:t>
      </w:r>
      <w:r>
        <w:br/>
      </w:r>
      <w:r>
        <w:rPr>
          <w:rStyle w:val="VerbatimChar"/>
        </w:rPr>
        <w:t xml:space="preserve"> (N/N85) - NP     5.29 1.29 233   4.113  0.0002</w:t>
      </w:r>
      <w:r>
        <w:br/>
      </w:r>
      <w:r>
        <w:rPr>
          <w:rStyle w:val="VerbatimChar"/>
        </w:rPr>
        <w:t xml:space="preserve"> (N/R50) - NP    14.90 1.23 233  12.150  &lt;.0001</w:t>
      </w:r>
      <w:r>
        <w:br/>
      </w:r>
      <w:r>
        <w:rPr>
          <w:rStyle w:val="VerbatimChar"/>
        </w:rPr>
        <w:t xml:space="preserve"> (N/R40) - NP    17.71 1.27 233  13.938  &lt;.0001</w:t>
      </w:r>
      <w:r>
        <w:br/>
      </w:r>
      <w:r>
        <w:br/>
      </w:r>
      <w:r>
        <w:rPr>
          <w:rStyle w:val="VerbatimChar"/>
        </w:rPr>
        <w:t xml:space="preserve">P value adjustment: dunnettx method for 3 tests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What if you wanted to test for diet restriction levels that caused an increase of</w:t>
            </w:r>
            <w:r>
              <w:t xml:space="preserve"> </w:t>
            </w:r>
            <w:r>
              <w:rPr>
                <w:iCs/>
                <w:i/>
              </w:rPr>
              <w:t xml:space="preserve">at least 10 days</w:t>
            </w:r>
            <w:r>
              <w:t xml:space="preserve"> </w:t>
            </w:r>
            <w:r>
              <w:t xml:space="preserve">relative to the unrestricted diet?</w:t>
            </w:r>
          </w:p>
          <w:p>
            <w:pPr>
              <w:pStyle w:val="BodyText"/>
            </w:pPr>
            <w:r>
              <w:t xml:space="preserve">Consider the hypotheses:</w:t>
            </w:r>
          </w:p>
          <w:p>
            <w:pPr>
              <w:pStyle w:val="BodyText"/>
            </w:pPr>
            <m:oMathPara>
              <m:oMathParaPr>
                <m:jc m:val="center"/>
              </m:oMathParaPr>
              <m:oMath>
                <m:d>
                  <m:dPr>
                    <m:begChr m:val="{"/>
                    <m:endChr m:val=""/>
                    <m:sepChr m:val=""/>
                    <m:grow/>
                  </m:dPr>
                  <m:e>
                    <m:m>
                      <m:mPr>
                        <m:baseJc m:val="center"/>
                        <m:plcHide m:val="on"/>
                        <m:mcs>
                          <m:mc>
                            <m:mcPr>
                              <m:mcJc m:val="left"/>
                              <m:count m:val="1"/>
                            </m:mcPr>
                          </m:mc>
                        </m:mcs>
                      </m:mPr>
                      <m:mr>
                        <m:e>
                          <m:sSub>
                            <m:e>
                              <m:r>
                                <m:t>H</m:t>
                              </m:r>
                            </m:e>
                            <m:sub>
                              <m:r>
                                <m:t>0</m:t>
                              </m:r>
                            </m:sub>
                          </m:sSub>
                          <m:r>
                            <m:rPr>
                              <m:sty m:val="p"/>
                            </m:rPr>
                            <m:t>:</m:t>
                          </m:r>
                          <m:sSub>
                            <m:e>
                              <m:r>
                                <m:t>μ</m:t>
                              </m:r>
                            </m:e>
                            <m:sub>
                              <m:sSub>
                                <m:e>
                                  <m:r>
                                    <m:rPr>
                                      <m:nor/>
                                      <m:sty m:val="p"/>
                                    </m:rPr>
                                    <m:t>trt</m:t>
                                  </m:r>
                                </m:e>
                                <m:sub>
                                  <m:r>
                                    <m:t>j</m:t>
                                  </m:r>
                                </m:sub>
                              </m:sSub>
                            </m:sub>
                          </m:sSub>
                          <m:r>
                            <m:rPr>
                              <m:sty m:val="p"/>
                            </m:rPr>
                            <m:t>−</m:t>
                          </m:r>
                          <m:sSub>
                            <m:e>
                              <m:r>
                                <m:t>μ</m:t>
                              </m:r>
                            </m:e>
                            <m:sub>
                              <m:r>
                                <m:rPr>
                                  <m:nor/>
                                  <m:sty m:val="p"/>
                                </m:rPr>
                                <m:t>ctrl</m:t>
                              </m:r>
                            </m:sub>
                          </m:sSub>
                          <m:r>
                            <m:rPr>
                              <m:sty m:val="p"/>
                            </m:rPr>
                            <m:t>≤</m:t>
                          </m:r>
                          <m:r>
                            <m:t>10</m:t>
                          </m:r>
                        </m:e>
                      </m:mr>
                      <m:mr>
                        <m:e>
                          <m:sSub>
                            <m:e>
                              <m:r>
                                <m:t>H</m:t>
                              </m:r>
                            </m:e>
                            <m:sub>
                              <m:r>
                                <m:t>A</m:t>
                              </m:r>
                            </m:sub>
                          </m:sSub>
                          <m:r>
                            <m:rPr>
                              <m:sty m:val="p"/>
                            </m:rPr>
                            <m:t>:</m:t>
                          </m:r>
                          <m:sSub>
                            <m:e>
                              <m:r>
                                <m:t>μ</m:t>
                              </m:r>
                            </m:e>
                            <m:sub>
                              <m:sSub>
                                <m:e>
                                  <m:r>
                                    <m:rPr>
                                      <m:nor/>
                                      <m:sty m:val="p"/>
                                    </m:rPr>
                                    <m:t>trt</m:t>
                                  </m:r>
                                </m:e>
                                <m:sub>
                                  <m:r>
                                    <m:t>j</m:t>
                                  </m:r>
                                </m:sub>
                              </m:sSub>
                            </m:sub>
                          </m:sSub>
                          <m:r>
                            <m:rPr>
                              <m:sty m:val="p"/>
                            </m:rPr>
                            <m:t>−</m:t>
                          </m:r>
                          <m:sSub>
                            <m:e>
                              <m:r>
                                <m:t>μ</m:t>
                              </m:r>
                            </m:e>
                            <m:sub>
                              <m:r>
                                <m:rPr>
                                  <m:nor/>
                                  <m:sty m:val="p"/>
                                </m:rPr>
                                <m:t>ctrl</m:t>
                              </m:r>
                            </m:sub>
                          </m:sSub>
                          <m:r>
                            <m:rPr>
                              <m:sty m:val="p"/>
                            </m:rPr>
                            <m:t>&gt;</m:t>
                          </m:r>
                          <m:r>
                            <m:t>10</m:t>
                          </m:r>
                        </m:e>
                      </m:mr>
                    </m:m>
                  </m:e>
                </m:d>
              </m:oMath>
            </m:oMathPara>
          </w:p>
          <w:p>
            <w:pPr>
              <w:pStyle w:val="FirstParagraph"/>
            </w:pPr>
            <w:r>
              <w:t xml:space="preserve">While not especially common, one can test directional hypotheses for pairwise differences relative to non-zero null values. The</w:t>
            </w:r>
            <w:r>
              <w:t xml:space="preserve"> </w:t>
            </w:r>
            <w:r>
              <w:rPr>
                <w:rStyle w:val="VerbatimChar"/>
              </w:rPr>
              <w:t xml:space="preserve">test()</w:t>
            </w:r>
            <w:r>
              <w:t xml:space="preserve"> </w:t>
            </w:r>
            <w:r>
              <w:t xml:space="preserve">function takes arguments</w:t>
            </w:r>
            <w:r>
              <w:t xml:space="preserve"> </w:t>
            </w:r>
            <w:r>
              <w:rPr>
                <w:rStyle w:val="VerbatimChar"/>
              </w:rPr>
              <w:t xml:space="preserve">null = ...</w:t>
            </w:r>
            <w:r>
              <w:t xml:space="preserve"> </w:t>
            </w:r>
            <w:r>
              <w:t xml:space="preserve">to specify the null value for the test and</w:t>
            </w:r>
            <w:r>
              <w:t xml:space="preserve"> </w:t>
            </w:r>
            <w:r>
              <w:rPr>
                <w:rStyle w:val="VerbatimChar"/>
              </w:rPr>
              <w:t xml:space="preserve">side = ...</w:t>
            </w:r>
            <w:r>
              <w:t xml:space="preserve"> </w:t>
            </w:r>
            <w:r>
              <w:t xml:space="preserve">to specify direction.</w:t>
            </w:r>
          </w:p>
          <w:p>
            <w:pPr>
              <w:numPr>
                <w:ilvl w:val="0"/>
                <w:numId w:val="1005"/>
              </w:numPr>
              <w:pStyle w:val="Compact"/>
            </w:pPr>
            <w:r>
              <w:rPr>
                <w:rStyle w:val="VerbatimChar"/>
              </w:rPr>
              <w:t xml:space="preserve">side = '&lt;'</w:t>
            </w:r>
            <w:r>
              <w:t xml:space="preserve"> </w:t>
            </w:r>
            <w:r>
              <w:t xml:space="preserve">specifies a lower-sided test</w:t>
            </w:r>
          </w:p>
          <w:p>
            <w:pPr>
              <w:numPr>
                <w:ilvl w:val="0"/>
                <w:numId w:val="1005"/>
              </w:numPr>
              <w:pStyle w:val="Compact"/>
            </w:pPr>
            <w:r>
              <w:rPr>
                <w:rStyle w:val="VerbatimChar"/>
              </w:rPr>
              <w:t xml:space="preserve">side = '&gt;'</w:t>
            </w:r>
            <w:r>
              <w:t xml:space="preserve"> </w:t>
            </w:r>
            <w:r>
              <w:t xml:space="preserve">specifies an upper-sided test</w:t>
            </w:r>
          </w:p>
          <w:p>
            <w:pPr>
              <w:numPr>
                <w:ilvl w:val="0"/>
                <w:numId w:val="1005"/>
              </w:numPr>
              <w:pStyle w:val="Compact"/>
            </w:pPr>
            <w:r>
              <w:rPr>
                <w:rStyle w:val="VerbatimChar"/>
              </w:rPr>
              <w:t xml:space="preserve">side = '='</w:t>
            </w:r>
            <w:r>
              <w:t xml:space="preserve"> </w:t>
            </w:r>
            <w:r>
              <w:t xml:space="preserve">specifies a two-sided test</w:t>
            </w:r>
          </w:p>
          <w:p>
            <w:pPr>
              <w:pStyle w:val="FirstParagraph"/>
            </w:pPr>
            <w:r>
              <w:t xml:space="preserve">The default behavior in verbose form is given by the code below. Modify this to test the hypotheses mentioned at the outset.</w:t>
            </w:r>
          </w:p>
          <w:p>
            <w:pPr>
              <w:pStyle w:val="SourceCode"/>
            </w:pPr>
            <w:r>
              <w:rPr>
                <w:rStyle w:val="CommentTok"/>
              </w:rPr>
              <w:t xml:space="preserve"># modify the default to test whether levels increase mean lifespan by at least 10 days</w:t>
            </w:r>
            <w:r>
              <w:br/>
            </w:r>
            <w:r>
              <w:rPr>
                <w:rStyle w:val="FunctionTok"/>
              </w:rPr>
              <w:t xml:space="preserve">emmeans</w:t>
            </w:r>
            <w:r>
              <w:rPr>
                <w:rStyle w:val="NormalTok"/>
              </w:rPr>
              <w:t xml:space="preserve">(fit, trt.vs.ctrl </w:t>
            </w:r>
            <w:r>
              <w:rPr>
                <w:rStyle w:val="SpecialCharTok"/>
              </w:rPr>
              <w:t xml:space="preserve">~</w:t>
            </w:r>
            <w:r>
              <w:rPr>
                <w:rStyle w:val="NormalTok"/>
              </w:rPr>
              <w:t xml:space="preserve"> diet)</w:t>
            </w:r>
            <w:r>
              <w:rPr>
                <w:rStyle w:val="SpecialCharTok"/>
              </w:rPr>
              <w:t xml:space="preserve">$</w:t>
            </w:r>
            <w:r>
              <w:rPr>
                <w:rStyle w:val="NormalTok"/>
              </w:rPr>
              <w:t xml:space="preserve">contrast </w:t>
            </w:r>
            <w:r>
              <w:rPr>
                <w:rStyle w:val="SpecialCharTok"/>
              </w:rPr>
              <w:t xml:space="preserve">|&gt;</w:t>
            </w:r>
            <w:r>
              <w:br/>
            </w:r>
            <w:r>
              <w:rPr>
                <w:rStyle w:val="NormalTok"/>
              </w:rPr>
              <w:t xml:space="preserve">  </w:t>
            </w:r>
            <w:r>
              <w:rPr>
                <w:rStyle w:val="FunctionTok"/>
              </w:rPr>
              <w:t xml:space="preserve">test</w:t>
            </w:r>
            <w:r>
              <w:rPr>
                <w:rStyle w:val="NormalTok"/>
              </w:rPr>
              <w:t xml:space="preserve">(</w:t>
            </w:r>
            <w:r>
              <w:rPr>
                <w:rStyle w:val="AttributeTok"/>
              </w:rPr>
              <w:t xml:space="preserve">null =</w:t>
            </w:r>
            <w:r>
              <w:rPr>
                <w:rStyle w:val="NormalTok"/>
              </w:rPr>
              <w:t xml:space="preserve"> </w:t>
            </w:r>
            <w:r>
              <w:rPr>
                <w:rStyle w:val="DecValTok"/>
              </w:rPr>
              <w:t xml:space="preserve">0</w:t>
            </w:r>
            <w:r>
              <w:rPr>
                <w:rStyle w:val="NormalTok"/>
              </w:rPr>
              <w:t xml:space="preserve">, </w:t>
            </w:r>
            <w:r>
              <w:rPr>
                <w:rStyle w:val="AttributeTok"/>
              </w:rPr>
              <w:t xml:space="preserve">side =</w:t>
            </w:r>
            <w:r>
              <w:rPr>
                <w:rStyle w:val="NormalTok"/>
              </w:rPr>
              <w:t xml:space="preserve"> </w:t>
            </w:r>
            <w:r>
              <w:rPr>
                <w:rStyle w:val="StringTok"/>
              </w:rPr>
              <w:t xml:space="preserve">'='</w:t>
            </w:r>
            <w:r>
              <w:rPr>
                <w:rStyle w:val="NormalTok"/>
              </w:rPr>
              <w:t xml:space="preserve">) </w:t>
            </w:r>
            <w:r>
              <w:rPr>
                <w:rStyle w:val="CommentTok"/>
              </w:rPr>
              <w:t xml:space="preserve"># modify here</w:t>
            </w:r>
          </w:p>
        </w:tc>
      </w:tr>
    </w:tbl>
    <w:bookmarkEnd w:id="45"/>
    <w:bookmarkEnd w:id="46"/>
    <w:bookmarkEnd w:id="47"/>
    <w:bookmarkStart w:id="48" w:name="practice-problem"/>
    <w:p>
      <w:pPr>
        <w:pStyle w:val="Heading1"/>
      </w:pPr>
      <w:r>
        <w:t xml:space="preserve">Practice problem</w:t>
      </w:r>
    </w:p>
    <w:p>
      <w:pPr>
        <w:pStyle w:val="FirstParagraph"/>
      </w:pPr>
      <w:r>
        <w:t xml:space="preserve">The</w:t>
      </w:r>
      <w:r>
        <w:t xml:space="preserve"> </w:t>
      </w:r>
      <w:r>
        <w:rPr>
          <w:rStyle w:val="VerbatimChar"/>
        </w:rPr>
        <w:t xml:space="preserve">mussels</w:t>
      </w:r>
      <w:r>
        <w:t xml:space="preserve"> </w:t>
      </w:r>
      <w:r>
        <w:t xml:space="preserve">data are standardized lengths of the anterior adductor muscle (AAM) of</w:t>
      </w:r>
      <w:r>
        <w:t xml:space="preserve"> </w:t>
      </w:r>
      <w:r>
        <w:rPr>
          <w:iCs/>
          <w:i/>
        </w:rPr>
        <w:t xml:space="preserve">Mytilus trossulus</w:t>
      </w:r>
      <w:r>
        <w:t xml:space="preserve"> </w:t>
      </w:r>
      <w:r>
        <w:t xml:space="preserve">mussels from five populations. Estimate mean AAM lengths for each population and test for differences between populations. If differences are determined to be significant, determine which populations differ significantly and provide interval estimates for the differences.</w:t>
      </w:r>
    </w:p>
    <w:p>
      <w:pPr>
        <w:pStyle w:val="SourceCode"/>
      </w:pPr>
      <w:r>
        <w:rPr>
          <w:rStyle w:val="CommentTok"/>
        </w:rPr>
        <w:t xml:space="preserve"># read in data</w:t>
      </w:r>
      <w:r>
        <w:br/>
      </w:r>
      <w:r>
        <w:rPr>
          <w:rStyle w:val="NormalTok"/>
        </w:rPr>
        <w:t xml:space="preserve">mussels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'data/mussels.csv'</w:t>
      </w:r>
      <w:r>
        <w:rPr>
          <w:rStyle w:val="NormalTok"/>
        </w:rPr>
        <w:t xml:space="preserve">)</w:t>
      </w:r>
      <w:r>
        <w:br/>
      </w:r>
      <w:r>
        <w:rPr>
          <w:rStyle w:val="FunctionTok"/>
        </w:rPr>
        <w:t xml:space="preserve">head</w:t>
      </w:r>
      <w:r>
        <w:rPr>
          <w:rStyle w:val="NormalTok"/>
        </w:rPr>
        <w:t xml:space="preserve">(mussels)</w:t>
      </w:r>
      <w:r>
        <w:br/>
      </w:r>
      <w:r>
        <w:br/>
      </w:r>
      <w:r>
        <w:rPr>
          <w:rStyle w:val="CommentTok"/>
        </w:rPr>
        <w:t xml:space="preserve"># visualization via boxplots</w:t>
      </w:r>
      <w:r>
        <w:br/>
      </w:r>
      <w:r>
        <w:br/>
      </w:r>
      <w:r>
        <w:rPr>
          <w:rStyle w:val="CommentTok"/>
        </w:rPr>
        <w:t xml:space="preserve"># grouped summaries, check SD's</w:t>
      </w:r>
      <w:r>
        <w:br/>
      </w:r>
      <w:r>
        <w:br/>
      </w:r>
      <w:r>
        <w:rPr>
          <w:rStyle w:val="CommentTok"/>
        </w:rPr>
        <w:t xml:space="preserve"># anova fit and table</w:t>
      </w:r>
      <w:r>
        <w:br/>
      </w:r>
      <w:r>
        <w:br/>
      </w:r>
      <w:r>
        <w:rPr>
          <w:rStyle w:val="CommentTok"/>
        </w:rPr>
        <w:t xml:space="preserve"># point and interval estimates of group means, with bonferroni correction</w:t>
      </w:r>
      <w:r>
        <w:br/>
      </w:r>
      <w:r>
        <w:br/>
      </w:r>
      <w:r>
        <w:rPr>
          <w:rStyle w:val="CommentTok"/>
        </w:rPr>
        <w:t xml:space="preserve"># visualization of estimates</w:t>
      </w:r>
      <w:r>
        <w:br/>
      </w:r>
      <w:r>
        <w:br/>
      </w:r>
      <w:r>
        <w:rPr>
          <w:rStyle w:val="CommentTok"/>
        </w:rPr>
        <w:t xml:space="preserve"># pairwise comparisons</w:t>
      </w:r>
      <w:r>
        <w:br/>
      </w:r>
      <w:r>
        <w:br/>
      </w:r>
      <w:r>
        <w:rPr>
          <w:rStyle w:val="CommentTok"/>
        </w:rPr>
        <w:t xml:space="preserve"># visualization</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Pairwise comparisons</dc:title>
  <dc:creator>STAT218</dc:creator>
  <cp:keywords/>
  <dcterms:created xsi:type="dcterms:W3CDTF">2024-03-15T03:54:42Z</dcterms:created>
  <dcterms:modified xsi:type="dcterms:W3CDTF">2024-03-15T03:54:42Z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