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14:</w:t>
      </w:r>
      <w:r>
        <w:t xml:space="preserve"> </w:t>
      </w:r>
      <w:r>
        <w:t xml:space="preserve">Inference</w:t>
      </w:r>
      <w:r>
        <w:t xml:space="preserve"> </w:t>
      </w:r>
      <w:r>
        <w:t xml:space="preserve">for</w:t>
      </w:r>
      <w:r>
        <w:t xml:space="preserve"> </w:t>
      </w:r>
      <w:r>
        <w:t xml:space="preserve">relative</w:t>
      </w:r>
      <w:r>
        <w:t xml:space="preserve"> </w:t>
      </w:r>
      <w:r>
        <w:t xml:space="preserve">risk</w:t>
      </w:r>
      <w:r>
        <w:t xml:space="preserve"> </w:t>
      </w:r>
      <w:r>
        <w:t xml:space="preserve">and</w:t>
      </w:r>
      <w:r>
        <w:t xml:space="preserve"> </w:t>
      </w:r>
      <w:r>
        <w:t xml:space="preserve">odds</w:t>
      </w:r>
      <w:r>
        <w:t xml:space="preserve"> </w:t>
      </w:r>
      <w:r>
        <w:t xml:space="preserve">ratios</w:t>
      </w:r>
    </w:p>
    <w:p>
      <w:pPr>
        <w:pStyle w:val="Author"/>
      </w:pPr>
      <w:r>
        <w:t xml:space="preserve">STAT218</w:t>
      </w:r>
    </w:p>
    <w:p>
      <w:pPr>
        <w:pStyle w:val="FirstParagraph"/>
      </w:pPr>
      <w:r>
        <w:t xml:space="preserve">This activity focuses on inference of relative risk and odds ratios. There are three objectives:</w:t>
      </w:r>
    </w:p>
    <w:p>
      <w:pPr>
        <w:numPr>
          <w:ilvl w:val="0"/>
          <w:numId w:val="1001"/>
        </w:numPr>
        <w:pStyle w:val="Compact"/>
      </w:pPr>
      <w:r>
        <w:t xml:space="preserve">Learn to perform tests and compute interval estimates for relative risk</w:t>
      </w:r>
    </w:p>
    <w:p>
      <w:pPr>
        <w:numPr>
          <w:ilvl w:val="0"/>
          <w:numId w:val="1001"/>
        </w:numPr>
        <w:pStyle w:val="Compact"/>
      </w:pPr>
      <w:r>
        <w:t xml:space="preserve">Learn to perform tests and compute interval estimates for odds ratios</w:t>
      </w:r>
    </w:p>
    <w:p>
      <w:pPr>
        <w:numPr>
          <w:ilvl w:val="0"/>
          <w:numId w:val="1001"/>
        </w:numPr>
        <w:pStyle w:val="Compact"/>
      </w:pPr>
      <w:r>
        <w:t xml:space="preserve">Practice discerning which estimand is appropriate given study design</w:t>
      </w:r>
    </w:p>
    <w:p>
      <w:pPr>
        <w:pStyle w:val="FirstParagraph"/>
      </w:pPr>
      <w:r>
        <w:t xml:space="preserve">Note that</w:t>
      </w:r>
      <w:r>
        <w:t xml:space="preserve"> </w:t>
      </w:r>
      <w:r>
        <w:rPr>
          <w:iCs/>
          <w:i/>
        </w:rPr>
        <w:t xml:space="preserve">you cannot determine</w:t>
      </w:r>
      <w:r>
        <w:t xml:space="preserve"> </w:t>
      </w:r>
      <w:r>
        <w:t xml:space="preserve">the study design from inspecting the data.</w:t>
      </w:r>
    </w:p>
    <w:bookmarkStart w:id="22" w:name="examples"/>
    <w:p>
      <w:pPr>
        <w:pStyle w:val="Heading2"/>
      </w:pPr>
      <w:r>
        <w:t xml:space="preserve">Examples</w:t>
      </w:r>
    </w:p>
    <w:bookmarkStart w:id="20" w:name="relative-risk"/>
    <w:p>
      <w:pPr>
        <w:pStyle w:val="Heading3"/>
      </w:pPr>
      <w:r>
        <w:t xml:space="preserve">Relative risk</w:t>
      </w:r>
    </w:p>
    <w:p>
      <w:pPr>
        <w:pStyle w:val="FirstParagraph"/>
      </w:pPr>
      <w:r>
        <w:t xml:space="preserve">Researchers recorded deaths due to cardiovascular disease (CVD) among a random sample of 3,112 individuals in American Samoa, where obesity was considered socially desirable, in order to investigate a potential link between obesity and CVD mortality.</w:t>
      </w:r>
    </w:p>
    <w:tbl>
      <w:tblPr>
        <w:tblStyle w:val="Table"/>
        <w:tblW w:type="pct" w:w="2500"/>
        <w:tblLook w:firstRow="1" w:lastRow="0" w:firstColumn="0" w:lastColumn="0" w:noHBand="0" w:noVBand="0" w:val="0020"/>
        <w:jc w:val="start"/>
        <w:tblLayout w:type="fixed"/>
      </w:tblPr>
      <w:tblGrid>
        <w:gridCol w:w="1650"/>
        <w:gridCol w:w="990"/>
        <w:gridCol w:w="1320"/>
      </w:tblGrid>
      <w:tr>
        <w:trPr>
          <w:tblHeader w:val="true"/>
        </w:trPr>
        <w:tc>
          <w:tcPr/>
          <w:p>
            <w:pPr>
              <w:pStyle w:val="Compact"/>
              <w:jc w:val="center"/>
            </w:pPr>
            <w:r>
              <w:t xml:space="preserve"> </w:t>
            </w:r>
          </w:p>
        </w:tc>
        <w:tc>
          <w:tcPr/>
          <w:p>
            <w:pPr>
              <w:pStyle w:val="Compact"/>
              <w:jc w:val="center"/>
            </w:pPr>
            <w:r>
              <w:t xml:space="preserve">Deaths</w:t>
            </w:r>
          </w:p>
        </w:tc>
        <w:tc>
          <w:tcPr/>
          <w:p>
            <w:pPr>
              <w:pStyle w:val="Compact"/>
              <w:jc w:val="center"/>
            </w:pPr>
            <w:r>
              <w:t xml:space="preserve">NonDeaths</w:t>
            </w:r>
          </w:p>
        </w:tc>
      </w:tr>
      <w:tr>
        <w:tc>
          <w:tcPr/>
          <w:p>
            <w:pPr>
              <w:pStyle w:val="Compact"/>
              <w:jc w:val="center"/>
            </w:pPr>
            <w:r>
              <w:rPr>
                <w:bCs/>
                <w:b/>
              </w:rPr>
              <w:t xml:space="preserve">Obese</w:t>
            </w:r>
          </w:p>
        </w:tc>
        <w:tc>
          <w:tcPr/>
          <w:p>
            <w:pPr>
              <w:pStyle w:val="Compact"/>
              <w:jc w:val="center"/>
            </w:pPr>
            <w:r>
              <w:t xml:space="preserve">16</w:t>
            </w:r>
          </w:p>
        </w:tc>
        <w:tc>
          <w:tcPr/>
          <w:p>
            <w:pPr>
              <w:pStyle w:val="Compact"/>
              <w:jc w:val="center"/>
            </w:pPr>
            <w:r>
              <w:t xml:space="preserve">2045</w:t>
            </w:r>
          </w:p>
        </w:tc>
      </w:tr>
      <w:tr>
        <w:tc>
          <w:tcPr/>
          <w:p>
            <w:pPr>
              <w:pStyle w:val="Compact"/>
              <w:jc w:val="center"/>
            </w:pPr>
            <w:r>
              <w:rPr>
                <w:bCs/>
                <w:b/>
              </w:rPr>
              <w:t xml:space="preserve">NotObese</w:t>
            </w:r>
          </w:p>
        </w:tc>
        <w:tc>
          <w:tcPr/>
          <w:p>
            <w:pPr>
              <w:pStyle w:val="Compact"/>
              <w:jc w:val="center"/>
            </w:pPr>
            <w:r>
              <w:t xml:space="preserve">7</w:t>
            </w:r>
          </w:p>
        </w:tc>
        <w:tc>
          <w:tcPr/>
          <w:p>
            <w:pPr>
              <w:pStyle w:val="Compact"/>
              <w:jc w:val="center"/>
            </w:pPr>
            <w:r>
              <w:t xml:space="preserve">1044</w:t>
            </w:r>
          </w:p>
        </w:tc>
      </w:tr>
    </w:tbl>
    <w:p>
      <w:pPr>
        <w:pStyle w:val="BodyText"/>
      </w:pPr>
      <w:r>
        <w:t xml:space="preserve">Because the data are a random sample from the population of interest (Samoans), it is possible to estimate the probability of the outcome of interest.</w:t>
      </w:r>
    </w:p>
    <w:p>
      <w:pPr>
        <w:numPr>
          <w:ilvl w:val="0"/>
          <w:numId w:val="1002"/>
        </w:numPr>
        <w:pStyle w:val="Compact"/>
      </w:pPr>
      <w:r>
        <w:t xml:space="preserve">the outcome of interest is death due to CVD</w:t>
      </w:r>
    </w:p>
    <w:p>
      <w:pPr>
        <w:numPr>
          <w:ilvl w:val="0"/>
          <w:numId w:val="1002"/>
        </w:numPr>
        <w:pStyle w:val="Compact"/>
      </w:pPr>
      <w:r>
        <w:t xml:space="preserve">the groups are obese and non-obese individuals</w:t>
      </w:r>
    </w:p>
    <w:p>
      <w:pPr>
        <w:numPr>
          <w:ilvl w:val="0"/>
          <w:numId w:val="1002"/>
        </w:numPr>
        <w:pStyle w:val="Compact"/>
      </w:pPr>
      <w:r>
        <w:t xml:space="preserve">this is a prospective-type observational study</w:t>
      </w:r>
    </w:p>
    <w:p>
      <w:pPr>
        <w:numPr>
          <w:ilvl w:val="0"/>
          <w:numId w:val="1002"/>
        </w:numPr>
        <w:pStyle w:val="Compact"/>
      </w:pPr>
      <w:r>
        <w:t xml:space="preserve">relative risk is a more appropriate target for inference</w:t>
      </w:r>
    </w:p>
    <w:p>
      <w:pPr>
        <w:pStyle w:val="FirstParagraph"/>
      </w:pPr>
      <w:r>
        <w:t xml:space="preserve">Therefore we’ll perform inference on:</w:t>
      </w:r>
    </w:p>
    <w:p>
      <w:pPr>
        <w:pStyle w:val="BodyText"/>
      </w:pPr>
      <m:oMathPara>
        <m:oMathParaPr>
          <m:jc m:val="center"/>
        </m:oMathParaPr>
        <m:oMath>
          <m:r>
            <m:t>R</m:t>
          </m:r>
          <m:sSub>
            <m:e>
              <m:r>
                <m:t>R</m:t>
              </m:r>
            </m:e>
            <m:sub>
              <m:r>
                <m:rPr>
                  <m:nor/>
                  <m:sty m:val="p"/>
                </m:rPr>
                <m:t>obese:non-obese</m:t>
              </m:r>
            </m:sub>
          </m:sSub>
          <m:d>
            <m:dPr>
              <m:begChr m:val="("/>
              <m:endChr m:val=")"/>
              <m:sepChr m:val=""/>
              <m:grow/>
            </m:dPr>
            <m:e>
              <m:r>
                <m:rPr>
                  <m:nor/>
                  <m:sty m:val="p"/>
                </m:rPr>
                <m:t>CVD death</m:t>
              </m:r>
            </m:e>
          </m:d>
          <m:r>
            <m:rPr>
              <m:sty m:val="p"/>
            </m:rPr>
            <m:t>=</m:t>
          </m:r>
          <m:f>
            <m:fPr>
              <m:type m:val="bar"/>
            </m:fPr>
            <m:num>
              <m:r>
                <m:t>P</m:t>
              </m:r>
              <m:sSub>
                <m:e>
                  <m:r>
                    <m:t>r</m:t>
                  </m:r>
                </m:e>
                <m:sub>
                  <m:r>
                    <m:rPr>
                      <m:nor/>
                      <m:sty m:val="p"/>
                    </m:rPr>
                    <m:t>obese</m:t>
                  </m:r>
                </m:sub>
              </m:sSub>
              <m:d>
                <m:dPr>
                  <m:begChr m:val="("/>
                  <m:endChr m:val=")"/>
                  <m:sepChr m:val=""/>
                  <m:grow/>
                </m:dPr>
                <m:e>
                  <m:r>
                    <m:rPr>
                      <m:nor/>
                      <m:sty m:val="p"/>
                    </m:rPr>
                    <m:t>CVD death</m:t>
                  </m:r>
                </m:e>
              </m:d>
            </m:num>
            <m:den>
              <m:r>
                <m:t>P</m:t>
              </m:r>
              <m:sSub>
                <m:e>
                  <m:r>
                    <m:t>r</m:t>
                  </m:r>
                </m:e>
                <m:sub>
                  <m:r>
                    <m:rPr>
                      <m:nor/>
                      <m:sty m:val="p"/>
                    </m:rPr>
                    <m:t>non-obese</m:t>
                  </m:r>
                </m:sub>
              </m:sSub>
              <m:d>
                <m:dPr>
                  <m:begChr m:val="("/>
                  <m:endChr m:val=")"/>
                  <m:sepChr m:val=""/>
                  <m:grow/>
                </m:dPr>
                <m:e>
                  <m:r>
                    <m:rPr>
                      <m:nor/>
                      <m:sty m:val="p"/>
                    </m:rPr>
                    <m:t>CVD death</m:t>
                  </m:r>
                </m:e>
              </m:d>
            </m:den>
          </m:f>
        </m:oMath>
      </m:oMathPara>
    </w:p>
    <w:p>
      <w:pPr>
        <w:pStyle w:val="FirstParagraph"/>
      </w:pPr>
      <w:r>
        <w:t xml:space="preserve">In R, this is a one-line command:</w:t>
      </w:r>
    </w:p>
    <w:p>
      <w:pPr>
        <w:pStyle w:val="SourceCode"/>
      </w:pPr>
      <w:r>
        <w:rPr>
          <w:rStyle w:val="FunctionTok"/>
        </w:rPr>
        <w:t xml:space="preserve">riskratio</w:t>
      </w:r>
      <w:r>
        <w:rPr>
          <w:rStyle w:val="NormalTok"/>
        </w:rPr>
        <w:t xml:space="preserve">(obesity, </w:t>
      </w:r>
      <w:r>
        <w:rPr>
          <w:rStyle w:val="AttributeTok"/>
        </w:rPr>
        <w:t xml:space="preserve">rev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$data</w:t>
      </w:r>
      <w:r>
        <w:br/>
      </w:r>
      <w:r>
        <w:rPr>
          <w:rStyle w:val="VerbatimChar"/>
        </w:rPr>
        <w:t xml:space="preserve">         NonDeaths Deaths Total</w:t>
      </w:r>
      <w:r>
        <w:br/>
      </w:r>
      <w:r>
        <w:rPr>
          <w:rStyle w:val="VerbatimChar"/>
        </w:rPr>
        <w:t xml:space="preserve">NotObese      1044      7  1051</w:t>
      </w:r>
      <w:r>
        <w:br/>
      </w:r>
      <w:r>
        <w:rPr>
          <w:rStyle w:val="VerbatimChar"/>
        </w:rPr>
        <w:t xml:space="preserve">Obese         2045     16  2061</w:t>
      </w:r>
      <w:r>
        <w:br/>
      </w:r>
      <w:r>
        <w:rPr>
          <w:rStyle w:val="VerbatimChar"/>
        </w:rPr>
        <w:t xml:space="preserve">Total         3089     23  3112</w:t>
      </w:r>
      <w:r>
        <w:br/>
      </w:r>
      <w:r>
        <w:br/>
      </w:r>
      <w:r>
        <w:rPr>
          <w:rStyle w:val="VerbatimChar"/>
        </w:rPr>
        <w:t xml:space="preserve">$measure</w:t>
      </w:r>
      <w:r>
        <w:br/>
      </w:r>
      <w:r>
        <w:rPr>
          <w:rStyle w:val="VerbatimChar"/>
        </w:rPr>
        <w:t xml:space="preserve">                        NA</w:t>
      </w:r>
      <w:r>
        <w:br/>
      </w:r>
      <w:r>
        <w:rPr>
          <w:rStyle w:val="VerbatimChar"/>
        </w:rPr>
        <w:t xml:space="preserve">risk ratio with 95% C.I. estimate     lower    upper</w:t>
      </w:r>
      <w:r>
        <w:br/>
      </w:r>
      <w:r>
        <w:rPr>
          <w:rStyle w:val="VerbatimChar"/>
        </w:rPr>
        <w:t xml:space="preserve">                NotObese 1.000000        NA       NA</w:t>
      </w:r>
      <w:r>
        <w:br/>
      </w:r>
      <w:r>
        <w:rPr>
          <w:rStyle w:val="VerbatimChar"/>
        </w:rPr>
        <w:t xml:space="preserve">                Obese    1.165592 0.4810219 2.824415</w:t>
      </w:r>
      <w:r>
        <w:br/>
      </w:r>
      <w:r>
        <w:br/>
      </w:r>
      <w:r>
        <w:rPr>
          <w:rStyle w:val="VerbatimChar"/>
        </w:rPr>
        <w:t xml:space="preserve">$p.value</w:t>
      </w:r>
      <w:r>
        <w:br/>
      </w:r>
      <w:r>
        <w:rPr>
          <w:rStyle w:val="VerbatimChar"/>
        </w:rPr>
        <w:t xml:space="preserve">          NA</w:t>
      </w:r>
      <w:r>
        <w:br/>
      </w:r>
      <w:r>
        <w:rPr>
          <w:rStyle w:val="VerbatimChar"/>
        </w:rPr>
        <w:t xml:space="preserve">two-sided  midp.exact fisher.exact chi.square</w:t>
      </w:r>
      <w:r>
        <w:br/>
      </w:r>
      <w:r>
        <w:rPr>
          <w:rStyle w:val="VerbatimChar"/>
        </w:rPr>
        <w:t xml:space="preserve">  NotObese         NA           NA         NA</w:t>
      </w:r>
      <w:r>
        <w:br/>
      </w:r>
      <w:r>
        <w:rPr>
          <w:rStyle w:val="VerbatimChar"/>
        </w:rPr>
        <w:t xml:space="preserve">  Obese     0.7561834    0.8277447  0.7340665</w:t>
      </w:r>
      <w:r>
        <w:br/>
      </w:r>
      <w:r>
        <w:br/>
      </w:r>
      <w:r>
        <w:rPr>
          <w:rStyle w:val="VerbatimChar"/>
        </w:rPr>
        <w:t xml:space="preserve">$correction</w:t>
      </w:r>
      <w:r>
        <w:br/>
      </w:r>
      <w:r>
        <w:rPr>
          <w:rStyle w:val="VerbatimChar"/>
        </w:rPr>
        <w:t xml:space="preserve">[1] FALSE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The</w:t>
      </w:r>
      <w:r>
        <w:t xml:space="preserve"> </w:t>
      </w:r>
      <w:r>
        <w:rPr>
          <w:rStyle w:val="VerbatimChar"/>
        </w:rPr>
        <w:t xml:space="preserve">riskratio</w:t>
      </w:r>
      <w:r>
        <w:t xml:space="preserve"> </w:t>
      </w:r>
      <w:r>
        <w:t xml:space="preserve">function has a specific formatting requirement:</w:t>
      </w:r>
    </w:p>
    <w:p>
      <w:pPr>
        <w:numPr>
          <w:ilvl w:val="0"/>
          <w:numId w:val="1003"/>
        </w:numPr>
        <w:pStyle w:val="Compact"/>
      </w:pPr>
      <w:r>
        <w:t xml:space="preserve">rows should be ordered so that the reference/control group appears first</w:t>
      </w:r>
    </w:p>
    <w:p>
      <w:pPr>
        <w:numPr>
          <w:ilvl w:val="0"/>
          <w:numId w:val="1003"/>
        </w:numPr>
        <w:pStyle w:val="Compact"/>
      </w:pPr>
      <w:r>
        <w:t xml:space="preserve">columns should be ordered so that the outcome of interes appears second</w:t>
      </w:r>
    </w:p>
    <w:p>
      <w:pPr>
        <w:pStyle w:val="FirstParagraph"/>
      </w:pPr>
      <w:r>
        <w:t xml:space="preserve">The</w:t>
      </w:r>
      <w:r>
        <w:t xml:space="preserve"> </w:t>
      </w:r>
      <w:r>
        <w:rPr>
          <w:rStyle w:val="VerbatimChar"/>
        </w:rPr>
        <w:t xml:space="preserve">rev = ...</w:t>
      </w:r>
      <w:r>
        <w:t xml:space="preserve"> </w:t>
      </w:r>
      <w:r>
        <w:t xml:space="preserve">argument</w:t>
      </w:r>
      <w:r>
        <w:t xml:space="preserve"> </w:t>
      </w:r>
      <w:r>
        <w:rPr>
          <w:iCs/>
          <w:i/>
        </w:rPr>
        <w:t xml:space="preserve">reverses</w:t>
      </w:r>
      <w:r>
        <w:t xml:space="preserve"> </w:t>
      </w:r>
      <w:r>
        <w:t xml:space="preserve">the order of rows, columns, or both.</w:t>
      </w:r>
    </w:p>
    <w:p>
      <w:pPr>
        <w:numPr>
          <w:ilvl w:val="0"/>
          <w:numId w:val="1004"/>
        </w:numPr>
        <w:pStyle w:val="Compact"/>
      </w:pPr>
      <w:r>
        <w:rPr>
          <w:rStyle w:val="VerbatimChar"/>
        </w:rPr>
        <w:t xml:space="preserve">rev = 'neither'</w:t>
      </w:r>
      <w:r>
        <w:t xml:space="preserve"> </w:t>
      </w:r>
      <w:r>
        <w:t xml:space="preserve">(default) indicates order of rows and columns is correctly specified</w:t>
      </w:r>
    </w:p>
    <w:p>
      <w:pPr>
        <w:numPr>
          <w:ilvl w:val="0"/>
          <w:numId w:val="1004"/>
        </w:numPr>
        <w:pStyle w:val="Compact"/>
      </w:pPr>
      <w:r>
        <w:rPr>
          <w:rStyle w:val="VerbatimChar"/>
        </w:rPr>
        <w:t xml:space="preserve">rev = 'rows'</w:t>
      </w:r>
      <w:r>
        <w:t xml:space="preserve"> </w:t>
      </w:r>
      <w:r>
        <w:t xml:space="preserve">reverses the order of rows only</w:t>
      </w:r>
    </w:p>
    <w:p>
      <w:pPr>
        <w:numPr>
          <w:ilvl w:val="0"/>
          <w:numId w:val="1004"/>
        </w:numPr>
        <w:pStyle w:val="Compact"/>
      </w:pPr>
      <w:r>
        <w:rPr>
          <w:rStyle w:val="VerbatimChar"/>
        </w:rPr>
        <w:t xml:space="preserve">rev = 'columns'</w:t>
      </w:r>
      <w:r>
        <w:t xml:space="preserve"> </w:t>
      </w:r>
      <w:r>
        <w:t xml:space="preserve">reverses the order of columns only</w:t>
      </w:r>
    </w:p>
    <w:p>
      <w:pPr>
        <w:numPr>
          <w:ilvl w:val="0"/>
          <w:numId w:val="1004"/>
        </w:numPr>
        <w:pStyle w:val="Compact"/>
      </w:pPr>
      <w:r>
        <w:rPr>
          <w:rStyle w:val="VerbatimChar"/>
        </w:rPr>
        <w:t xml:space="preserve">rev = 'both'</w:t>
      </w:r>
      <w:r>
        <w:t xml:space="preserve"> </w:t>
      </w:r>
      <w:r>
        <w:t xml:space="preserve">reverses the order of rows and columns</w:t>
      </w:r>
    </w:p>
    <w:p>
      <w:pPr>
        <w:pStyle w:val="FirstParagraph"/>
      </w:pPr>
      <w:r>
        <w:t xml:space="preserve">In the example,</w:t>
      </w:r>
      <w:r>
        <w:t xml:space="preserve"> </w:t>
      </w:r>
      <w:r>
        <w:rPr>
          <w:rStyle w:val="VerbatimChar"/>
        </w:rPr>
        <w:t xml:space="preserve">rev = 'both'</w:t>
      </w:r>
      <w:r>
        <w:t xml:space="preserve"> </w:t>
      </w:r>
      <w:r>
        <w:t xml:space="preserve">is used because the contingency table shows non-obese individuals (reference group) in the second row and deaths (outcome of interest) in the first column. Both should be reversed.</w:t>
      </w:r>
    </w:p>
    <w:bookmarkEnd w:id="20"/>
    <w:bookmarkStart w:id="21" w:name="odds-ratio"/>
    <w:p>
      <w:pPr>
        <w:pStyle w:val="Heading3"/>
      </w:pPr>
      <w:r>
        <w:t xml:space="preserve">Odds ratio</w:t>
      </w:r>
    </w:p>
    <w:p>
      <w:pPr>
        <w:pStyle w:val="FirstParagraph"/>
      </w:pPr>
      <w:r>
        <w:t xml:space="preserve">Researchers sampled 86 lung cancer patients (cases) and 86 healthy individuals (controls) and recorded smoking status.</w:t>
      </w:r>
    </w:p>
    <w:tbl>
      <w:tblPr>
        <w:tblStyle w:val="Table"/>
        <w:tblW w:type="pct" w:w="2569"/>
        <w:tblLook w:firstRow="1" w:lastRow="0" w:firstColumn="0" w:lastColumn="0" w:noHBand="0" w:noVBand="0" w:val="0020"/>
        <w:jc w:val="start"/>
        <w:tblLayout w:type="fixed"/>
      </w:tblPr>
      <w:tblGrid>
        <w:gridCol w:w="1540"/>
        <w:gridCol w:w="1100"/>
        <w:gridCol w:w="1430"/>
      </w:tblGrid>
      <w:tr>
        <w:trPr>
          <w:tblHeader w:val="true"/>
        </w:trPr>
        <w:tc>
          <w:tcPr/>
          <w:p>
            <w:pPr>
              <w:pStyle w:val="Compact"/>
              <w:jc w:val="center"/>
            </w:pPr>
            <w:r>
              <w:t xml:space="preserve"> </w:t>
            </w:r>
          </w:p>
        </w:tc>
        <w:tc>
          <w:tcPr/>
          <w:p>
            <w:pPr>
              <w:pStyle w:val="Compact"/>
              <w:jc w:val="center"/>
            </w:pPr>
            <w:r>
              <w:t xml:space="preserve">Smokers</w:t>
            </w:r>
          </w:p>
        </w:tc>
        <w:tc>
          <w:tcPr/>
          <w:p>
            <w:pPr>
              <w:pStyle w:val="Compact"/>
              <w:jc w:val="center"/>
            </w:pPr>
            <w:r>
              <w:t xml:space="preserve">NonSmokers</w:t>
            </w:r>
          </w:p>
        </w:tc>
      </w:tr>
      <w:tr>
        <w:tc>
          <w:tcPr/>
          <w:p>
            <w:pPr>
              <w:pStyle w:val="Compact"/>
              <w:jc w:val="center"/>
            </w:pPr>
            <w:r>
              <w:rPr>
                <w:bCs/>
                <w:b/>
              </w:rPr>
              <w:t xml:space="preserve">Cancer</w:t>
            </w:r>
          </w:p>
        </w:tc>
        <w:tc>
          <w:tcPr/>
          <w:p>
            <w:pPr>
              <w:pStyle w:val="Compact"/>
              <w:jc w:val="center"/>
            </w:pPr>
            <w:r>
              <w:t xml:space="preserve">83</w:t>
            </w:r>
          </w:p>
        </w:tc>
        <w:tc>
          <w:tcPr/>
          <w:p>
            <w:pPr>
              <w:pStyle w:val="Compact"/>
              <w:jc w:val="center"/>
            </w:pPr>
            <w:r>
              <w:t xml:space="preserve">3</w:t>
            </w:r>
          </w:p>
        </w:tc>
      </w:tr>
      <w:tr>
        <w:tc>
          <w:tcPr/>
          <w:p>
            <w:pPr>
              <w:pStyle w:val="Compact"/>
              <w:jc w:val="center"/>
            </w:pPr>
            <w:r>
              <w:rPr>
                <w:bCs/>
                <w:b/>
              </w:rPr>
              <w:t xml:space="preserve">Control</w:t>
            </w:r>
          </w:p>
        </w:tc>
        <w:tc>
          <w:tcPr/>
          <w:p>
            <w:pPr>
              <w:pStyle w:val="Compact"/>
              <w:jc w:val="center"/>
            </w:pPr>
            <w:r>
              <w:t xml:space="preserve">72</w:t>
            </w:r>
          </w:p>
        </w:tc>
        <w:tc>
          <w:tcPr/>
          <w:p>
            <w:pPr>
              <w:pStyle w:val="Compact"/>
              <w:jc w:val="center"/>
            </w:pPr>
            <w:r>
              <w:t xml:space="preserve">14</w:t>
            </w:r>
          </w:p>
        </w:tc>
      </w:tr>
    </w:tbl>
    <w:p>
      <w:pPr>
        <w:pStyle w:val="BodyText"/>
      </w:pPr>
      <w:r>
        <w:t xml:space="preserve">This is a case-control study and inherently retrospective, because the outcome of interest is developing lung cancer, but individuals are sampled based on outcome and the risk factor (smoking) is identified retrospectively.</w:t>
      </w:r>
    </w:p>
    <w:p>
      <w:pPr>
        <w:numPr>
          <w:ilvl w:val="0"/>
          <w:numId w:val="1005"/>
        </w:numPr>
        <w:pStyle w:val="Compact"/>
      </w:pPr>
      <w:r>
        <w:t xml:space="preserve">the outcome of interest is lung cancer</w:t>
      </w:r>
    </w:p>
    <w:p>
      <w:pPr>
        <w:numPr>
          <w:ilvl w:val="0"/>
          <w:numId w:val="1005"/>
        </w:numPr>
        <w:pStyle w:val="Compact"/>
      </w:pPr>
      <w:r>
        <w:t xml:space="preserve">the groupings are smokers and nonsmokers</w:t>
      </w:r>
    </w:p>
    <w:p>
      <w:pPr>
        <w:numPr>
          <w:ilvl w:val="0"/>
          <w:numId w:val="1005"/>
        </w:numPr>
        <w:pStyle w:val="Compact"/>
      </w:pPr>
      <w:r>
        <w:t xml:space="preserve">the study design is retrospective</w:t>
      </w:r>
    </w:p>
    <w:p>
      <w:pPr>
        <w:numPr>
          <w:ilvl w:val="0"/>
          <w:numId w:val="1005"/>
        </w:numPr>
        <w:pStyle w:val="Compact"/>
      </w:pPr>
      <w:r>
        <w:t xml:space="preserve">odds ratio is the more appropriate target for inference</w:t>
      </w:r>
    </w:p>
    <w:p>
      <w:pPr>
        <w:pStyle w:val="FirstParagraph"/>
      </w:pPr>
      <w:r>
        <w:t xml:space="preserve">In this case it is not possible to estimate the probability of the outcome of interest, so inference should focus on the odds ratio:</w:t>
      </w:r>
    </w:p>
    <w:p>
      <w:pPr>
        <w:pStyle w:val="BodyText"/>
      </w:pPr>
      <m:oMathPara>
        <m:oMathParaPr>
          <m:jc m:val="center"/>
        </m:oMathParaPr>
        <m:oMath>
          <m:r>
            <m:t>O</m:t>
          </m:r>
          <m:sSub>
            <m:e>
              <m:r>
                <m:t>R</m:t>
              </m:r>
            </m:e>
            <m:sub>
              <m:r>
                <m:rPr>
                  <m:nor/>
                  <m:sty m:val="p"/>
                </m:rPr>
                <m:t>smoker:nonsmoker</m:t>
              </m:r>
            </m:sub>
          </m:sSub>
          <m:d>
            <m:dPr>
              <m:begChr m:val="("/>
              <m:endChr m:val=")"/>
              <m:sepChr m:val=""/>
              <m:grow/>
            </m:dPr>
            <m:e>
              <m:r>
                <m:rPr>
                  <m:nor/>
                  <m:sty m:val="p"/>
                </m:rPr>
                <m:t>cancer</m:t>
              </m:r>
            </m:e>
          </m:d>
          <m:r>
            <m:rPr>
              <m:sty m:val="p"/>
            </m:rPr>
            <m:t>=</m:t>
          </m:r>
          <m:f>
            <m:fPr>
              <m:type m:val="bar"/>
            </m:fPr>
            <m:num>
              <m:sSub>
                <m:e>
                  <m:r>
                    <m:rPr>
                      <m:nor/>
                      <m:sty m:val="p"/>
                    </m:rPr>
                    <m:t>odds</m:t>
                  </m:r>
                </m:e>
                <m:sub>
                  <m:r>
                    <m:rPr>
                      <m:nor/>
                      <m:sty m:val="p"/>
                    </m:rPr>
                    <m:t>smoker</m:t>
                  </m:r>
                </m:sub>
              </m:sSub>
              <m:d>
                <m:dPr>
                  <m:begChr m:val="("/>
                  <m:endChr m:val=")"/>
                  <m:sepChr m:val=""/>
                  <m:grow/>
                </m:dPr>
                <m:e>
                  <m:r>
                    <m:rPr>
                      <m:nor/>
                      <m:sty m:val="p"/>
                    </m:rPr>
                    <m:t>cancer</m:t>
                  </m:r>
                </m:e>
              </m:d>
            </m:num>
            <m:den>
              <m:sSub>
                <m:e>
                  <m:r>
                    <m:rPr>
                      <m:nor/>
                      <m:sty m:val="p"/>
                    </m:rPr>
                    <m:t>odds</m:t>
                  </m:r>
                </m:e>
                <m:sub>
                  <m:r>
                    <m:rPr>
                      <m:nor/>
                      <m:sty m:val="p"/>
                    </m:rPr>
                    <m:t>nonsmoker</m:t>
                  </m:r>
                </m:sub>
              </m:sSub>
              <m:d>
                <m:dPr>
                  <m:begChr m:val="("/>
                  <m:endChr m:val=")"/>
                  <m:sepChr m:val=""/>
                  <m:grow/>
                </m:dPr>
                <m:e>
                  <m:r>
                    <m:rPr>
                      <m:nor/>
                      <m:sty m:val="p"/>
                    </m:rPr>
                    <m:t>cancer</m:t>
                  </m:r>
                </m:e>
              </m:d>
            </m:den>
          </m:f>
        </m:oMath>
      </m:oMathPara>
    </w:p>
    <w:p>
      <w:pPr>
        <w:pStyle w:val="FirstParagraph"/>
      </w:pPr>
      <w:r>
        <w:t xml:space="preserve">This, as well, is a one-line command in R:</w:t>
      </w:r>
    </w:p>
    <w:p>
      <w:pPr>
        <w:pStyle w:val="SourceCode"/>
      </w:pPr>
      <w:r>
        <w:rPr>
          <w:rStyle w:val="VerbatimChar"/>
        </w:rPr>
        <w:t xml:space="preserve">$data</w:t>
      </w:r>
      <w:r>
        <w:br/>
      </w:r>
      <w:r>
        <w:rPr>
          <w:rStyle w:val="VerbatimChar"/>
        </w:rPr>
        <w:t xml:space="preserve">        NonSmokers Smokers Total</w:t>
      </w:r>
      <w:r>
        <w:br/>
      </w:r>
      <w:r>
        <w:rPr>
          <w:rStyle w:val="VerbatimChar"/>
        </w:rPr>
        <w:t xml:space="preserve">Control         14      72    86</w:t>
      </w:r>
      <w:r>
        <w:br/>
      </w:r>
      <w:r>
        <w:rPr>
          <w:rStyle w:val="VerbatimChar"/>
        </w:rPr>
        <w:t xml:space="preserve">Cancer           3      83    86</w:t>
      </w:r>
      <w:r>
        <w:br/>
      </w:r>
      <w:r>
        <w:rPr>
          <w:rStyle w:val="VerbatimChar"/>
        </w:rPr>
        <w:t xml:space="preserve">Total           17     155   172</w:t>
      </w:r>
      <w:r>
        <w:br/>
      </w:r>
      <w:r>
        <w:br/>
      </w:r>
      <w:r>
        <w:rPr>
          <w:rStyle w:val="VerbatimChar"/>
        </w:rPr>
        <w:t xml:space="preserve">$measure</w:t>
      </w:r>
      <w:r>
        <w:br/>
      </w:r>
      <w:r>
        <w:rPr>
          <w:rStyle w:val="VerbatimChar"/>
        </w:rPr>
        <w:t xml:space="preserve">                        NA</w:t>
      </w:r>
      <w:r>
        <w:br/>
      </w:r>
      <w:r>
        <w:rPr>
          <w:rStyle w:val="VerbatimChar"/>
        </w:rPr>
        <w:t xml:space="preserve">odds ratio with 95% C.I. estimate    lower    upper</w:t>
      </w:r>
      <w:r>
        <w:br/>
      </w:r>
      <w:r>
        <w:rPr>
          <w:rStyle w:val="VerbatimChar"/>
        </w:rPr>
        <w:t xml:space="preserve">                 Control  1.00000       NA       NA</w:t>
      </w:r>
      <w:r>
        <w:br/>
      </w:r>
      <w:r>
        <w:rPr>
          <w:rStyle w:val="VerbatimChar"/>
        </w:rPr>
        <w:t xml:space="preserve">                 Cancer   5.37963 1.486376 19.47045</w:t>
      </w:r>
      <w:r>
        <w:br/>
      </w:r>
      <w:r>
        <w:br/>
      </w:r>
      <w:r>
        <w:rPr>
          <w:rStyle w:val="VerbatimChar"/>
        </w:rPr>
        <w:t xml:space="preserve">$p.value</w:t>
      </w:r>
      <w:r>
        <w:br/>
      </w:r>
      <w:r>
        <w:rPr>
          <w:rStyle w:val="VerbatimChar"/>
        </w:rPr>
        <w:t xml:space="preserve">         NA</w:t>
      </w:r>
      <w:r>
        <w:br/>
      </w:r>
      <w:r>
        <w:rPr>
          <w:rStyle w:val="VerbatimChar"/>
        </w:rPr>
        <w:t xml:space="preserve">two-sided  midp.exact fisher.exact  chi.square</w:t>
      </w:r>
      <w:r>
        <w:br/>
      </w:r>
      <w:r>
        <w:rPr>
          <w:rStyle w:val="VerbatimChar"/>
        </w:rPr>
        <w:t xml:space="preserve">  Control          NA           NA          NA</w:t>
      </w:r>
      <w:r>
        <w:br/>
      </w:r>
      <w:r>
        <w:rPr>
          <w:rStyle w:val="VerbatimChar"/>
        </w:rPr>
        <w:t xml:space="preserve">  Cancer  0.005116319  0.008822805 0.004948149</w:t>
      </w:r>
      <w:r>
        <w:br/>
      </w:r>
      <w:r>
        <w:br/>
      </w:r>
      <w:r>
        <w:rPr>
          <w:rStyle w:val="VerbatimChar"/>
        </w:rPr>
        <w:t xml:space="preserve">$correction</w:t>
      </w:r>
      <w:r>
        <w:br/>
      </w:r>
      <w:r>
        <w:rPr>
          <w:rStyle w:val="VerbatimChar"/>
        </w:rPr>
        <w:t xml:space="preserve">[1] FALSE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The</w:t>
      </w:r>
      <w:r>
        <w:t xml:space="preserve"> </w:t>
      </w:r>
      <w:r>
        <w:rPr>
          <w:rStyle w:val="VerbatimChar"/>
        </w:rPr>
        <w:t xml:space="preserve">oddsratio</w:t>
      </w:r>
      <w:r>
        <w:t xml:space="preserve"> </w:t>
      </w:r>
      <w:r>
        <w:t xml:space="preserve">function expects the same input format: the first row is the reference/control group, and the second column is the outcome of interest.</w:t>
      </w:r>
    </w:p>
    <w:bookmarkEnd w:id="21"/>
    <w:bookmarkEnd w:id="22"/>
    <w:bookmarkStart w:id="23" w:name="practice-problems"/>
    <w:p>
      <w:pPr>
        <w:pStyle w:val="Heading2"/>
      </w:pPr>
      <w:r>
        <w:t xml:space="preserve">Practice problems</w:t>
      </w:r>
    </w:p>
    <w:p>
      <w:pPr>
        <w:numPr>
          <w:ilvl w:val="0"/>
          <w:numId w:val="1006"/>
        </w:numPr>
      </w:pPr>
      <w:r>
        <w:t xml:space="preserve">An outbreak of cyclosporiasis was detected among residents of New Jersey. In a case-control study, investigators found that 21 of 30 case-patients and four of 60 controls had eaten raspberries.</w:t>
      </w:r>
    </w:p>
    <w:p>
      <w:pPr>
        <w:numPr>
          <w:ilvl w:val="1"/>
          <w:numId w:val="1007"/>
        </w:numPr>
        <w:pStyle w:val="Compact"/>
      </w:pPr>
      <w:r>
        <w:t xml:space="preserve">Identify the outcome of interest and groupings.</w:t>
      </w:r>
    </w:p>
    <w:p>
      <w:pPr>
        <w:numPr>
          <w:ilvl w:val="1"/>
          <w:numId w:val="1007"/>
        </w:numPr>
        <w:pStyle w:val="Compact"/>
      </w:pPr>
      <w:r>
        <w:t xml:space="preserve">Identify the study design.</w:t>
      </w:r>
    </w:p>
    <w:p>
      <w:pPr>
        <w:numPr>
          <w:ilvl w:val="1"/>
          <w:numId w:val="1007"/>
        </w:numPr>
        <w:pStyle w:val="Compact"/>
      </w:pPr>
      <w:r>
        <w:t xml:space="preserve">Based on the study design, is the odds ratio or relative risk a more appropriate inferential target?</w:t>
      </w:r>
    </w:p>
    <w:p>
      <w:pPr>
        <w:numPr>
          <w:ilvl w:val="1"/>
          <w:numId w:val="1007"/>
        </w:numPr>
        <w:pStyle w:val="Compact"/>
      </w:pPr>
      <w:r>
        <w:t xml:space="preserve">Perform inference according to your answer in (c); carry out a test and compute a confidence interval.</w:t>
      </w:r>
    </w:p>
    <w:tbl>
      <w:tblPr>
        <w:tblStyle w:val="Table"/>
        <w:tblW w:type="pct" w:w="1528"/>
        <w:tblLook w:firstRow="1" w:lastRow="0" w:firstColumn="0" w:lastColumn="0" w:noHBand="0" w:noVBand="0" w:val="0020"/>
        <w:jc w:val="start"/>
        <w:tblLayout w:type="fixed"/>
      </w:tblPr>
      <w:tblGrid>
        <w:gridCol w:w="1100"/>
        <w:gridCol w:w="660"/>
        <w:gridCol w:w="660"/>
      </w:tblGrid>
      <w:tr>
        <w:trPr>
          <w:tblHeader w:val="true"/>
        </w:trPr>
        <w:tc>
          <w:tcPr/>
          <w:p>
            <w:pPr>
              <w:pStyle w:val="Compact"/>
              <w:jc w:val="center"/>
            </w:pPr>
            <w:r>
              <w:t xml:space="preserve"> </w:t>
            </w:r>
          </w:p>
        </w:tc>
        <w:tc>
          <w:tcPr/>
          <w:p>
            <w:pPr>
              <w:pStyle w:val="Compact"/>
              <w:jc w:val="center"/>
            </w:pPr>
            <w:r>
              <w:t xml:space="preserve">yes</w:t>
            </w:r>
          </w:p>
        </w:tc>
        <w:tc>
          <w:tcPr/>
          <w:p>
            <w:pPr>
              <w:pStyle w:val="Compact"/>
              <w:jc w:val="center"/>
            </w:pPr>
            <w:r>
              <w:t xml:space="preserve">no</w:t>
            </w:r>
          </w:p>
        </w:tc>
      </w:tr>
      <w:tr>
        <w:tc>
          <w:tcPr/>
          <w:p>
            <w:pPr>
              <w:pStyle w:val="Compact"/>
              <w:jc w:val="center"/>
            </w:pPr>
            <w:r>
              <w:rPr>
                <w:bCs/>
                <w:b/>
              </w:rPr>
              <w:t xml:space="preserve">yes</w:t>
            </w:r>
          </w:p>
        </w:tc>
        <w:tc>
          <w:tcPr/>
          <w:p>
            <w:pPr>
              <w:pStyle w:val="Compact"/>
              <w:jc w:val="center"/>
            </w:pPr>
            <w:r>
              <w:t xml:space="preserve">21</w:t>
            </w:r>
          </w:p>
        </w:tc>
        <w:tc>
          <w:tcPr/>
          <w:p>
            <w:pPr>
              <w:pStyle w:val="Compact"/>
              <w:jc w:val="center"/>
            </w:pPr>
            <w:r>
              <w:t xml:space="preserve">4</w:t>
            </w:r>
          </w:p>
        </w:tc>
      </w:tr>
      <w:tr>
        <w:tc>
          <w:tcPr/>
          <w:p>
            <w:pPr>
              <w:pStyle w:val="Compact"/>
              <w:jc w:val="center"/>
            </w:pPr>
            <w:r>
              <w:rPr>
                <w:bCs/>
                <w:b/>
              </w:rPr>
              <w:t xml:space="preserve">no</w:t>
            </w:r>
          </w:p>
        </w:tc>
        <w:tc>
          <w:tcPr/>
          <w:p>
            <w:pPr>
              <w:pStyle w:val="Compact"/>
              <w:jc w:val="center"/>
            </w:pPr>
            <w:r>
              <w:t xml:space="preserve">9</w:t>
            </w:r>
          </w:p>
        </w:tc>
        <w:tc>
          <w:tcPr/>
          <w:p>
            <w:pPr>
              <w:pStyle w:val="Compact"/>
              <w:jc w:val="center"/>
            </w:pPr>
            <w:r>
              <w:t xml:space="preserve">56</w:t>
            </w:r>
          </w:p>
        </w:tc>
      </w:tr>
    </w:tbl>
    <w:p>
      <w:pPr>
        <w:numPr>
          <w:ilvl w:val="0"/>
          <w:numId w:val="1008"/>
        </w:numPr>
      </w:pPr>
      <w:r>
        <w:t xml:space="preserve">Researchers conducted a prospective cohort study of 3,000 smokers and 5,000 nonsmokers to investigate the relationship between smoking and the development of coronary heart disease (CHD) over 1 year.</w:t>
      </w:r>
    </w:p>
    <w:p>
      <w:pPr>
        <w:numPr>
          <w:ilvl w:val="1"/>
          <w:numId w:val="1009"/>
        </w:numPr>
        <w:pStyle w:val="Compact"/>
      </w:pPr>
      <w:r>
        <w:t xml:space="preserve">Identify the outcome of interest and groupings.</w:t>
      </w:r>
    </w:p>
    <w:p>
      <w:pPr>
        <w:numPr>
          <w:ilvl w:val="1"/>
          <w:numId w:val="1009"/>
        </w:numPr>
        <w:pStyle w:val="Compact"/>
      </w:pPr>
      <w:r>
        <w:t xml:space="preserve">Identify the study design.</w:t>
      </w:r>
    </w:p>
    <w:p>
      <w:pPr>
        <w:numPr>
          <w:ilvl w:val="1"/>
          <w:numId w:val="1009"/>
        </w:numPr>
        <w:pStyle w:val="Compact"/>
      </w:pPr>
      <w:r>
        <w:t xml:space="preserve">Based on the study design, is the odds ratio or relative risk a more appropriate inferential target?</w:t>
      </w:r>
    </w:p>
    <w:p>
      <w:pPr>
        <w:numPr>
          <w:ilvl w:val="1"/>
          <w:numId w:val="1009"/>
        </w:numPr>
        <w:pStyle w:val="Compact"/>
      </w:pPr>
      <w:r>
        <w:t xml:space="preserve">Perform inference according to your answer in (c); carry out a test and compute a confidence interval.</w:t>
      </w:r>
    </w:p>
    <w:tbl>
      <w:tblPr>
        <w:tblStyle w:val="Table"/>
        <w:tblW w:type="pct" w:w="1597"/>
        <w:tblLook w:firstRow="1" w:lastRow="0" w:firstColumn="0" w:lastColumn="0" w:noHBand="0" w:noVBand="0" w:val="0020"/>
        <w:jc w:val="start"/>
        <w:tblLayout w:type="fixed"/>
      </w:tblPr>
      <w:tblGrid>
        <w:gridCol w:w="1100"/>
        <w:gridCol w:w="660"/>
        <w:gridCol w:w="770"/>
      </w:tblGrid>
      <w:tr>
        <w:trPr>
          <w:tblHeader w:val="true"/>
        </w:trPr>
        <w:tc>
          <w:tcPr/>
          <w:p>
            <w:pPr>
              <w:pStyle w:val="Compact"/>
              <w:jc w:val="center"/>
            </w:pPr>
            <w:r>
              <w:t xml:space="preserve"> </w:t>
            </w:r>
          </w:p>
        </w:tc>
        <w:tc>
          <w:tcPr/>
          <w:p>
            <w:pPr>
              <w:pStyle w:val="Compact"/>
              <w:jc w:val="center"/>
            </w:pPr>
            <w:r>
              <w:t xml:space="preserve">yes</w:t>
            </w:r>
          </w:p>
        </w:tc>
        <w:tc>
          <w:tcPr/>
          <w:p>
            <w:pPr>
              <w:pStyle w:val="Compact"/>
              <w:jc w:val="center"/>
            </w:pPr>
            <w:r>
              <w:t xml:space="preserve">no</w:t>
            </w:r>
          </w:p>
        </w:tc>
      </w:tr>
      <w:tr>
        <w:tc>
          <w:tcPr/>
          <w:p>
            <w:pPr>
              <w:pStyle w:val="Compact"/>
              <w:jc w:val="center"/>
            </w:pPr>
            <w:r>
              <w:rPr>
                <w:bCs/>
                <w:b/>
              </w:rPr>
              <w:t xml:space="preserve">yes</w:t>
            </w:r>
          </w:p>
        </w:tc>
        <w:tc>
          <w:tcPr/>
          <w:p>
            <w:pPr>
              <w:pStyle w:val="Compact"/>
              <w:jc w:val="center"/>
            </w:pPr>
            <w:r>
              <w:t xml:space="preserve">84</w:t>
            </w:r>
          </w:p>
        </w:tc>
        <w:tc>
          <w:tcPr/>
          <w:p>
            <w:pPr>
              <w:pStyle w:val="Compact"/>
              <w:jc w:val="center"/>
            </w:pPr>
            <w:r>
              <w:t xml:space="preserve">2916</w:t>
            </w:r>
          </w:p>
        </w:tc>
      </w:tr>
      <w:tr>
        <w:tc>
          <w:tcPr/>
          <w:p>
            <w:pPr>
              <w:pStyle w:val="Compact"/>
              <w:jc w:val="center"/>
            </w:pPr>
            <w:r>
              <w:rPr>
                <w:bCs/>
                <w:b/>
              </w:rPr>
              <w:t xml:space="preserve">no</w:t>
            </w:r>
          </w:p>
        </w:tc>
        <w:tc>
          <w:tcPr/>
          <w:p>
            <w:pPr>
              <w:pStyle w:val="Compact"/>
              <w:jc w:val="center"/>
            </w:pPr>
            <w:r>
              <w:t xml:space="preserve">87</w:t>
            </w:r>
          </w:p>
        </w:tc>
        <w:tc>
          <w:tcPr/>
          <w:p>
            <w:pPr>
              <w:pStyle w:val="Compact"/>
              <w:jc w:val="center"/>
            </w:pPr>
            <w:r>
              <w:t xml:space="preserve">4913</w:t>
            </w:r>
          </w:p>
        </w:tc>
      </w:tr>
    </w:tbl>
    <w:p>
      <w:pPr>
        <w:numPr>
          <w:ilvl w:val="0"/>
          <w:numId w:val="1010"/>
        </w:numPr>
      </w:pPr>
      <w:r>
        <w:t xml:space="preserve">Researchers gave 48 male bank supervisors attending a management institute hypothetical personnel files and asked them whether they would promote the applicant based on the file. The personnel files were identical except that 24 of them listed a male and 24 listed a female applicant. The assignment of managers to receive either a male or female applicant file was carried out at random.</w:t>
      </w:r>
    </w:p>
    <w:p>
      <w:pPr>
        <w:numPr>
          <w:ilvl w:val="1"/>
          <w:numId w:val="1011"/>
        </w:numPr>
        <w:pStyle w:val="Compact"/>
      </w:pPr>
      <w:r>
        <w:t xml:space="preserve">Identify the outcome of interest and groupings.</w:t>
      </w:r>
    </w:p>
    <w:p>
      <w:pPr>
        <w:numPr>
          <w:ilvl w:val="1"/>
          <w:numId w:val="1011"/>
        </w:numPr>
        <w:pStyle w:val="Compact"/>
      </w:pPr>
      <w:r>
        <w:t xml:space="preserve">Identify the study design.</w:t>
      </w:r>
    </w:p>
    <w:p>
      <w:pPr>
        <w:numPr>
          <w:ilvl w:val="1"/>
          <w:numId w:val="1011"/>
        </w:numPr>
        <w:pStyle w:val="Compact"/>
      </w:pPr>
      <w:r>
        <w:t xml:space="preserve">Based on the study design, is the odds ratio or relative risk a more appropriate inferential target?</w:t>
      </w:r>
    </w:p>
    <w:p>
      <w:pPr>
        <w:numPr>
          <w:ilvl w:val="1"/>
          <w:numId w:val="1011"/>
        </w:numPr>
        <w:pStyle w:val="Compact"/>
      </w:pPr>
      <w:r>
        <w:t xml:space="preserve">Perform inference according to your answer in (c); carry out a test and compute a confidence interval.</w:t>
      </w:r>
    </w:p>
    <w:tbl>
      <w:tblPr>
        <w:tblStyle w:val="Table"/>
        <w:tblW w:type="pct" w:w="2361"/>
        <w:tblLook w:firstRow="1" w:lastRow="0" w:firstColumn="0" w:lastColumn="0" w:noHBand="0" w:noVBand="0" w:val="0020"/>
        <w:jc w:val="start"/>
        <w:tblLayout w:type="fixed"/>
      </w:tblPr>
      <w:tblGrid>
        <w:gridCol w:w="990"/>
        <w:gridCol w:w="1210"/>
        <w:gridCol w:w="1540"/>
      </w:tblGrid>
      <w:tr>
        <w:trPr>
          <w:tblHeader w:val="true"/>
        </w:trPr>
        <w:tc>
          <w:tcPr/>
          <w:p>
            <w:pPr>
              <w:pStyle w:val="Compact"/>
              <w:jc w:val="center"/>
            </w:pPr>
            <w:r>
              <w:t xml:space="preserve">Gender</w:t>
            </w:r>
          </w:p>
        </w:tc>
        <w:tc>
          <w:tcPr/>
          <w:p>
            <w:pPr>
              <w:pStyle w:val="Compact"/>
              <w:jc w:val="center"/>
            </w:pPr>
            <w:r>
              <w:t xml:space="preserve">Promoted</w:t>
            </w:r>
          </w:p>
        </w:tc>
        <w:tc>
          <w:tcPr/>
          <w:p>
            <w:pPr>
              <w:pStyle w:val="Compact"/>
              <w:jc w:val="center"/>
            </w:pPr>
            <w:r>
              <w:t xml:space="preserve">NotPromoted</w:t>
            </w:r>
          </w:p>
        </w:tc>
      </w:tr>
      <w:tr>
        <w:tc>
          <w:tcPr/>
          <w:p>
            <w:pPr>
              <w:pStyle w:val="Compact"/>
              <w:jc w:val="center"/>
            </w:pPr>
            <w:r>
              <w:t xml:space="preserve">Male</w:t>
            </w:r>
          </w:p>
        </w:tc>
        <w:tc>
          <w:tcPr/>
          <w:p>
            <w:pPr>
              <w:pStyle w:val="Compact"/>
              <w:jc w:val="center"/>
            </w:pPr>
            <w:r>
              <w:t xml:space="preserve">21</w:t>
            </w:r>
          </w:p>
        </w:tc>
        <w:tc>
          <w:tcPr/>
          <w:p>
            <w:pPr>
              <w:pStyle w:val="Compact"/>
              <w:jc w:val="center"/>
            </w:pPr>
            <w:r>
              <w:t xml:space="preserve">3</w:t>
            </w:r>
          </w:p>
        </w:tc>
      </w:tr>
      <w:tr>
        <w:tc>
          <w:tcPr/>
          <w:p>
            <w:pPr>
              <w:pStyle w:val="Compact"/>
              <w:jc w:val="center"/>
            </w:pPr>
            <w:r>
              <w:t xml:space="preserve">Female</w:t>
            </w:r>
          </w:p>
        </w:tc>
        <w:tc>
          <w:tcPr/>
          <w:p>
            <w:pPr>
              <w:pStyle w:val="Compact"/>
              <w:jc w:val="center"/>
            </w:pPr>
            <w:r>
              <w:t xml:space="preserve">14</w:t>
            </w:r>
          </w:p>
        </w:tc>
        <w:tc>
          <w:tcPr/>
          <w:p>
            <w:pPr>
              <w:pStyle w:val="Compact"/>
              <w:jc w:val="center"/>
            </w:pPr>
            <w:r>
              <w:t xml:space="preserve">10</w:t>
            </w:r>
          </w:p>
        </w:tc>
      </w:tr>
    </w:tbl>
    <w:p>
      <w:pPr>
        <w:numPr>
          <w:ilvl w:val="0"/>
          <w:numId w:val="1012"/>
        </w:numPr>
      </w:pPr>
      <w:r>
        <w:t xml:space="preserve">The Learning Early About Peanut allergy (LEAP) study recruited 530 children with risk factors for developing peanut allergies and randomly allocated peanut exposure and peanut avoidance regimens to each participant. At 5 years of age, an oral food challenge (OFC) test was administered to determine whether participants had developed allergies.</w:t>
      </w:r>
    </w:p>
    <w:p>
      <w:pPr>
        <w:numPr>
          <w:ilvl w:val="1"/>
          <w:numId w:val="1013"/>
        </w:numPr>
        <w:pStyle w:val="Compact"/>
      </w:pPr>
      <w:r>
        <w:t xml:space="preserve">Identify the outcome of interest and groupings.</w:t>
      </w:r>
    </w:p>
    <w:p>
      <w:pPr>
        <w:numPr>
          <w:ilvl w:val="1"/>
          <w:numId w:val="1013"/>
        </w:numPr>
        <w:pStyle w:val="Compact"/>
      </w:pPr>
      <w:r>
        <w:t xml:space="preserve">Identify the study design.</w:t>
      </w:r>
    </w:p>
    <w:p>
      <w:pPr>
        <w:numPr>
          <w:ilvl w:val="1"/>
          <w:numId w:val="1013"/>
        </w:numPr>
        <w:pStyle w:val="Compact"/>
      </w:pPr>
      <w:r>
        <w:t xml:space="preserve">Based on the study design, is the odds ratio or relative risk a more appropriate inferential target?</w:t>
      </w:r>
    </w:p>
    <w:p>
      <w:pPr>
        <w:numPr>
          <w:ilvl w:val="1"/>
          <w:numId w:val="1013"/>
        </w:numPr>
        <w:pStyle w:val="Compact"/>
      </w:pPr>
      <w:r>
        <w:t xml:space="preserve">Perform inference according to your answer in (c); carry out a test and compute a confidence interval.</w:t>
      </w:r>
    </w:p>
    <w:tbl>
      <w:tblPr>
        <w:tblStyle w:val="Table"/>
        <w:tblW w:type="pct" w:w="3819"/>
        <w:tblLook w:firstRow="1" w:lastRow="0" w:firstColumn="0" w:lastColumn="0" w:noHBand="0" w:noVBand="0" w:val="0020"/>
        <w:jc w:val="start"/>
        <w:tblLayout w:type="fixed"/>
      </w:tblPr>
      <w:tblGrid>
        <w:gridCol w:w="1650"/>
        <w:gridCol w:w="2090"/>
        <w:gridCol w:w="2310"/>
      </w:tblGrid>
      <w:tr>
        <w:trPr>
          <w:tblHeader w:val="true"/>
        </w:trPr>
        <w:tc>
          <w:tcPr/>
          <w:p>
            <w:pPr>
              <w:pStyle w:val="Compact"/>
              <w:jc w:val="center"/>
            </w:pPr>
            <w:r>
              <w:t xml:space="preserve"> </w:t>
            </w:r>
          </w:p>
        </w:tc>
        <w:tc>
          <w:tcPr/>
          <w:p>
            <w:pPr>
              <w:pStyle w:val="Compact"/>
              <w:jc w:val="center"/>
            </w:pPr>
            <w:r>
              <w:t xml:space="preserve">Peanut Avoidance</w:t>
            </w:r>
          </w:p>
        </w:tc>
        <w:tc>
          <w:tcPr/>
          <w:p>
            <w:pPr>
              <w:pStyle w:val="Compact"/>
              <w:jc w:val="center"/>
            </w:pPr>
            <w:r>
              <w:t xml:space="preserve">Peanut Consumption</w:t>
            </w:r>
          </w:p>
        </w:tc>
      </w:tr>
      <w:tr>
        <w:tc>
          <w:tcPr/>
          <w:p>
            <w:pPr>
              <w:pStyle w:val="Compact"/>
              <w:jc w:val="center"/>
            </w:pPr>
            <w:r>
              <w:rPr>
                <w:bCs/>
                <w:b/>
              </w:rPr>
              <w:t xml:space="preserve">FAIL OFC</w:t>
            </w:r>
          </w:p>
        </w:tc>
        <w:tc>
          <w:tcPr/>
          <w:p>
            <w:pPr>
              <w:pStyle w:val="Compact"/>
              <w:jc w:val="center"/>
            </w:pPr>
            <w:r>
              <w:t xml:space="preserve">36</w:t>
            </w:r>
          </w:p>
        </w:tc>
        <w:tc>
          <w:tcPr/>
          <w:p>
            <w:pPr>
              <w:pStyle w:val="Compact"/>
              <w:jc w:val="center"/>
            </w:pPr>
            <w:r>
              <w:t xml:space="preserve">5</w:t>
            </w:r>
          </w:p>
        </w:tc>
      </w:tr>
      <w:tr>
        <w:tc>
          <w:tcPr/>
          <w:p>
            <w:pPr>
              <w:pStyle w:val="Compact"/>
              <w:jc w:val="center"/>
            </w:pPr>
            <w:r>
              <w:rPr>
                <w:bCs/>
                <w:b/>
              </w:rPr>
              <w:t xml:space="preserve">PASS OFC</w:t>
            </w:r>
          </w:p>
        </w:tc>
        <w:tc>
          <w:tcPr/>
          <w:p>
            <w:pPr>
              <w:pStyle w:val="Compact"/>
              <w:jc w:val="center"/>
            </w:pPr>
            <w:r>
              <w:t xml:space="preserve">227</w:t>
            </w:r>
          </w:p>
        </w:tc>
        <w:tc>
          <w:tcPr/>
          <w:p>
            <w:pPr>
              <w:pStyle w:val="Compact"/>
              <w:jc w:val="center"/>
            </w:pPr>
            <w:r>
              <w:t xml:space="preserve">262</w:t>
            </w:r>
          </w:p>
        </w:tc>
      </w:tr>
    </w:tbl>
    <w:p>
      <w:pPr>
        <w:numPr>
          <w:ilvl w:val="0"/>
          <w:numId w:val="1014"/>
        </w:numPr>
      </w:pPr>
      <w:r>
        <w:t xml:space="preserve">A 30-year study to investigate the effectiveness of mammograms versus a standard non-mammogram breast cancer exam was conducted in Canada with 89,835 female participants.12 During a 5-year screening period, each woman was randomized to either receive annual mammograms or standard physical exams for breast cancer. During the 25 years following the screening period, each woman was screened for breast cancer according to the standard of care at her health care center. At the end of the 25 year follow-up period, 1,005 women died from breast cancer. The results by intervention are summarized in</w:t>
      </w:r>
      <w:r>
        <w:t xml:space="preserve"> </w:t>
      </w:r>
      <w:r>
        <w:rPr>
          <w:rStyle w:val="VerbatimChar"/>
        </w:rPr>
        <w:t xml:space="preserve">mammogram</w:t>
      </w:r>
      <w:r>
        <w:t xml:space="preserve">.</w:t>
      </w:r>
    </w:p>
    <w:p>
      <w:pPr>
        <w:numPr>
          <w:ilvl w:val="1"/>
          <w:numId w:val="1015"/>
        </w:numPr>
        <w:pStyle w:val="Compact"/>
      </w:pPr>
      <w:r>
        <w:t xml:space="preserve">Identify the outcome of interest and groupings.</w:t>
      </w:r>
    </w:p>
    <w:p>
      <w:pPr>
        <w:numPr>
          <w:ilvl w:val="1"/>
          <w:numId w:val="1015"/>
        </w:numPr>
        <w:pStyle w:val="Compact"/>
      </w:pPr>
      <w:r>
        <w:t xml:space="preserve">Identify the study design.</w:t>
      </w:r>
    </w:p>
    <w:p>
      <w:pPr>
        <w:numPr>
          <w:ilvl w:val="1"/>
          <w:numId w:val="1015"/>
        </w:numPr>
        <w:pStyle w:val="Compact"/>
      </w:pPr>
      <w:r>
        <w:t xml:space="preserve">Based on the study design, is the odds ratio or relative risk a more appropriate inferential target?</w:t>
      </w:r>
    </w:p>
    <w:p>
      <w:pPr>
        <w:numPr>
          <w:ilvl w:val="1"/>
          <w:numId w:val="1015"/>
        </w:numPr>
        <w:pStyle w:val="Compact"/>
      </w:pPr>
      <w:r>
        <w:t xml:space="preserve">Perform inference according to your answer in (c); carry out a test and compute a confidence interval.</w:t>
      </w:r>
    </w:p>
    <w:tbl>
      <w:tblPr>
        <w:tblStyle w:val="Table"/>
        <w:tblW w:type="pct" w:w="1667"/>
        <w:tblLook w:firstRow="1" w:lastRow="0" w:firstColumn="0" w:lastColumn="0" w:noHBand="0" w:noVBand="0" w:val="0020"/>
        <w:jc w:val="start"/>
        <w:tblLayout w:type="fixed"/>
      </w:tblPr>
      <w:tblGrid>
        <w:gridCol w:w="1100"/>
        <w:gridCol w:w="660"/>
        <w:gridCol w:w="880"/>
      </w:tblGrid>
      <w:tr>
        <w:trPr>
          <w:tblHeader w:val="true"/>
        </w:trPr>
        <w:tc>
          <w:tcPr/>
          <w:p>
            <w:pPr>
              <w:pStyle w:val="Compact"/>
              <w:jc w:val="center"/>
            </w:pPr>
            <w:r>
              <w:t xml:space="preserve"> </w:t>
            </w:r>
          </w:p>
        </w:tc>
        <w:tc>
          <w:tcPr/>
          <w:p>
            <w:pPr>
              <w:pStyle w:val="Compact"/>
              <w:jc w:val="center"/>
            </w:pPr>
            <w:r>
              <w:t xml:space="preserve">yes</w:t>
            </w:r>
          </w:p>
        </w:tc>
        <w:tc>
          <w:tcPr/>
          <w:p>
            <w:pPr>
              <w:pStyle w:val="Compact"/>
              <w:jc w:val="center"/>
            </w:pPr>
            <w:r>
              <w:t xml:space="preserve">no</w:t>
            </w:r>
          </w:p>
        </w:tc>
      </w:tr>
      <w:tr>
        <w:tc>
          <w:tcPr/>
          <w:p>
            <w:pPr>
              <w:pStyle w:val="Compact"/>
              <w:jc w:val="center"/>
            </w:pPr>
            <w:r>
              <w:rPr>
                <w:bCs/>
                <w:b/>
              </w:rPr>
              <w:t xml:space="preserve">yes</w:t>
            </w:r>
          </w:p>
        </w:tc>
        <w:tc>
          <w:tcPr/>
          <w:p>
            <w:pPr>
              <w:pStyle w:val="Compact"/>
              <w:jc w:val="center"/>
            </w:pPr>
            <w:r>
              <w:t xml:space="preserve">500</w:t>
            </w:r>
          </w:p>
        </w:tc>
        <w:tc>
          <w:tcPr/>
          <w:p>
            <w:pPr>
              <w:pStyle w:val="Compact"/>
              <w:jc w:val="center"/>
            </w:pPr>
            <w:r>
              <w:t xml:space="preserve">44425</w:t>
            </w:r>
          </w:p>
        </w:tc>
      </w:tr>
      <w:tr>
        <w:tc>
          <w:tcPr/>
          <w:p>
            <w:pPr>
              <w:pStyle w:val="Compact"/>
              <w:jc w:val="center"/>
            </w:pPr>
            <w:r>
              <w:rPr>
                <w:bCs/>
                <w:b/>
              </w:rPr>
              <w:t xml:space="preserve">no</w:t>
            </w:r>
          </w:p>
        </w:tc>
        <w:tc>
          <w:tcPr/>
          <w:p>
            <w:pPr>
              <w:pStyle w:val="Compact"/>
              <w:jc w:val="center"/>
            </w:pPr>
            <w:r>
              <w:t xml:space="preserve">505</w:t>
            </w:r>
          </w:p>
        </w:tc>
        <w:tc>
          <w:tcPr/>
          <w:p>
            <w:pPr>
              <w:pStyle w:val="Compact"/>
              <w:jc w:val="center"/>
            </w:pPr>
            <w:r>
              <w:t xml:space="preserve">44405</w:t>
            </w:r>
          </w:p>
        </w:tc>
      </w:tr>
    </w:tbl>
    <w:p>
      <w:pPr>
        <w:numPr>
          <w:ilvl w:val="0"/>
          <w:numId w:val="1016"/>
        </w:numPr>
      </w:pPr>
      <w:r>
        <w:t xml:space="preserve">An observational study of 227,571 Medicare beneficiaries who initiated treatment with one of two diabetes medications recorded whether each patient reported cardiovascular problems.</w:t>
      </w:r>
    </w:p>
    <w:p>
      <w:pPr>
        <w:numPr>
          <w:ilvl w:val="1"/>
          <w:numId w:val="1017"/>
        </w:numPr>
        <w:pStyle w:val="Compact"/>
      </w:pPr>
      <w:r>
        <w:t xml:space="preserve">Identify the outcome of interest and groupings.</w:t>
      </w:r>
    </w:p>
    <w:p>
      <w:pPr>
        <w:numPr>
          <w:ilvl w:val="1"/>
          <w:numId w:val="1017"/>
        </w:numPr>
        <w:pStyle w:val="Compact"/>
      </w:pPr>
      <w:r>
        <w:t xml:space="preserve">Identify the study design.</w:t>
      </w:r>
    </w:p>
    <w:p>
      <w:pPr>
        <w:numPr>
          <w:ilvl w:val="1"/>
          <w:numId w:val="1017"/>
        </w:numPr>
        <w:pStyle w:val="Compact"/>
      </w:pPr>
      <w:r>
        <w:t xml:space="preserve">Based on the study design, is the odds ratio or relative risk a more appropriate inferential target?</w:t>
      </w:r>
    </w:p>
    <w:p>
      <w:pPr>
        <w:numPr>
          <w:ilvl w:val="1"/>
          <w:numId w:val="1017"/>
        </w:numPr>
        <w:pStyle w:val="Compact"/>
      </w:pPr>
      <w:r>
        <w:t xml:space="preserve">Perform inference according to your answer in (c); carry out a test and compute a confidence interval.</w:t>
      </w:r>
    </w:p>
    <w:tbl>
      <w:tblPr>
        <w:tblStyle w:val="Table"/>
        <w:tblW w:type="pct" w:w="2639"/>
        <w:tblLook w:firstRow="1" w:lastRow="0" w:firstColumn="0" w:lastColumn="0" w:noHBand="0" w:noVBand="0" w:val="0020"/>
        <w:jc w:val="start"/>
        <w:tblLayout w:type="fixed"/>
      </w:tblPr>
      <w:tblGrid>
        <w:gridCol w:w="2200"/>
        <w:gridCol w:w="990"/>
        <w:gridCol w:w="990"/>
      </w:tblGrid>
      <w:tr>
        <w:trPr>
          <w:tblHeader w:val="true"/>
        </w:trPr>
        <w:tc>
          <w:tcPr/>
          <w:p>
            <w:pPr>
              <w:pStyle w:val="Compact"/>
              <w:jc w:val="center"/>
            </w:pPr>
            <w:r>
              <w:t xml:space="preserve"> </w:t>
            </w:r>
          </w:p>
        </w:tc>
        <w:tc>
          <w:tcPr/>
          <w:p>
            <w:pPr>
              <w:pStyle w:val="Compact"/>
              <w:jc w:val="center"/>
            </w:pPr>
            <w:r>
              <w:t xml:space="preserve">no</w:t>
            </w:r>
          </w:p>
        </w:tc>
        <w:tc>
          <w:tcPr/>
          <w:p>
            <w:pPr>
              <w:pStyle w:val="Compact"/>
              <w:jc w:val="center"/>
            </w:pPr>
            <w:r>
              <w:t xml:space="preserve">yes</w:t>
            </w:r>
          </w:p>
        </w:tc>
      </w:tr>
      <w:tr>
        <w:tc>
          <w:tcPr/>
          <w:p>
            <w:pPr>
              <w:pStyle w:val="Compact"/>
              <w:jc w:val="center"/>
            </w:pPr>
            <w:r>
              <w:rPr>
                <w:bCs/>
                <w:b/>
              </w:rPr>
              <w:t xml:space="preserve">Pioglitazone</w:t>
            </w:r>
          </w:p>
        </w:tc>
        <w:tc>
          <w:tcPr/>
          <w:p>
            <w:pPr>
              <w:pStyle w:val="Compact"/>
              <w:jc w:val="center"/>
            </w:pPr>
            <w:r>
              <w:t xml:space="preserve">154592</w:t>
            </w:r>
          </w:p>
        </w:tc>
        <w:tc>
          <w:tcPr/>
          <w:p>
            <w:pPr>
              <w:pStyle w:val="Compact"/>
              <w:jc w:val="center"/>
            </w:pPr>
            <w:r>
              <w:t xml:space="preserve">5386</w:t>
            </w:r>
          </w:p>
        </w:tc>
      </w:tr>
      <w:tr>
        <w:tc>
          <w:tcPr/>
          <w:p>
            <w:pPr>
              <w:pStyle w:val="Compact"/>
              <w:jc w:val="center"/>
            </w:pPr>
            <w:r>
              <w:rPr>
                <w:bCs/>
                <w:b/>
              </w:rPr>
              <w:t xml:space="preserve">Rosiglitazone</w:t>
            </w:r>
          </w:p>
        </w:tc>
        <w:tc>
          <w:tcPr/>
          <w:p>
            <w:pPr>
              <w:pStyle w:val="Compact"/>
              <w:jc w:val="center"/>
            </w:pPr>
            <w:r>
              <w:t xml:space="preserve">65000</w:t>
            </w:r>
          </w:p>
        </w:tc>
        <w:tc>
          <w:tcPr/>
          <w:p>
            <w:pPr>
              <w:pStyle w:val="Compact"/>
              <w:jc w:val="center"/>
            </w:pPr>
            <w:r>
              <w:t xml:space="preserve">2593</w:t>
            </w:r>
          </w:p>
        </w:tc>
      </w:tr>
    </w:tbl>
    <w:p>
      <w:pPr>
        <w:numPr>
          <w:ilvl w:val="0"/>
          <w:numId w:val="1018"/>
        </w:numPr>
      </w:pPr>
      <w:r>
        <w:t xml:space="preserve">On March 31, 2021, Pfizer and BioNTech announced that</w:t>
      </w:r>
      <w:r>
        <w:t xml:space="preserve"> </w:t>
      </w:r>
      <w:r>
        <w:t xml:space="preserve">“</w:t>
      </w:r>
      <w:r>
        <w:t xml:space="preserve">in a Phase 3 trial in adolescents 12 to 15 years of age with or without prior evidence of SARS-CoV-2 infection, the Pfizer-BioNTech COVID-19 vaccine BNT162b2 demonstrated 100% efficacy and robust antibody responses, exceeding those recorded earlier in vaccinated participants aged 16 to 25 years old, and was well tolerated.</w:t>
      </w:r>
      <w:r>
        <w:t xml:space="preserve">”</w:t>
      </w:r>
      <w:r>
        <w:t xml:space="preserve"> </w:t>
      </w:r>
      <w:r>
        <w:t xml:space="preserve">These results are from a Phase 3 trial in 2,260 adolescents 12 to 15 years of age in the United States. In the trial, 18 cases of COVID-19 were observed in the placebo group (n = 1,129) versus none in the vaccinated group (n = 1,131).</w:t>
      </w:r>
    </w:p>
    <w:p>
      <w:pPr>
        <w:numPr>
          <w:ilvl w:val="1"/>
          <w:numId w:val="1019"/>
        </w:numPr>
        <w:pStyle w:val="Compact"/>
      </w:pPr>
      <w:r>
        <w:t xml:space="preserve">Identify the outcome of interest and groupings.</w:t>
      </w:r>
    </w:p>
    <w:p>
      <w:pPr>
        <w:numPr>
          <w:ilvl w:val="1"/>
          <w:numId w:val="1019"/>
        </w:numPr>
        <w:pStyle w:val="Compact"/>
      </w:pPr>
      <w:r>
        <w:t xml:space="preserve">Identify the study design.</w:t>
      </w:r>
    </w:p>
    <w:p>
      <w:pPr>
        <w:numPr>
          <w:ilvl w:val="1"/>
          <w:numId w:val="1019"/>
        </w:numPr>
        <w:pStyle w:val="Compact"/>
      </w:pPr>
      <w:r>
        <w:t xml:space="preserve">Based on the study design, is the odds ratio or relative risk a more appropriate inferential target?</w:t>
      </w:r>
    </w:p>
    <w:p>
      <w:pPr>
        <w:numPr>
          <w:ilvl w:val="1"/>
          <w:numId w:val="1019"/>
        </w:numPr>
        <w:pStyle w:val="Compact"/>
      </w:pPr>
      <w:r>
        <w:t xml:space="preserve">Perform inference according to your answer in (c); carry out a test and compute a confidence interval.</w:t>
      </w:r>
    </w:p>
    <w:tbl>
      <w:tblPr>
        <w:tblStyle w:val="Table"/>
        <w:tblW w:type="pct" w:w="2708"/>
        <w:tblLook w:firstRow="1" w:lastRow="0" w:firstColumn="0" w:lastColumn="0" w:noHBand="0" w:noVBand="0" w:val="0020"/>
        <w:jc w:val="start"/>
        <w:tblLayout w:type="fixed"/>
      </w:tblPr>
      <w:tblGrid>
        <w:gridCol w:w="1540"/>
        <w:gridCol w:w="1210"/>
        <w:gridCol w:w="1540"/>
      </w:tblGrid>
      <w:tr>
        <w:trPr>
          <w:tblHeader w:val="true"/>
        </w:trPr>
        <w:tc>
          <w:tcPr/>
          <w:p>
            <w:pPr>
              <w:pStyle w:val="Compact"/>
              <w:jc w:val="center"/>
            </w:pPr>
            <w:r>
              <w:t xml:space="preserve"> </w:t>
            </w:r>
          </w:p>
        </w:tc>
        <w:tc>
          <w:tcPr/>
          <w:p>
            <w:pPr>
              <w:pStyle w:val="Compact"/>
              <w:jc w:val="center"/>
            </w:pPr>
            <w:r>
              <w:t xml:space="preserve">COVID-19</w:t>
            </w:r>
          </w:p>
        </w:tc>
        <w:tc>
          <w:tcPr/>
          <w:p>
            <w:pPr>
              <w:pStyle w:val="Compact"/>
              <w:jc w:val="center"/>
            </w:pPr>
            <w:r>
              <w:t xml:space="preserve">no COVID-19</w:t>
            </w:r>
          </w:p>
        </w:tc>
      </w:tr>
      <w:tr>
        <w:tc>
          <w:tcPr/>
          <w:p>
            <w:pPr>
              <w:pStyle w:val="Compact"/>
              <w:jc w:val="center"/>
            </w:pPr>
            <w:r>
              <w:rPr>
                <w:bCs/>
                <w:b/>
              </w:rPr>
              <w:t xml:space="preserve">vaccine</w:t>
            </w:r>
          </w:p>
        </w:tc>
        <w:tc>
          <w:tcPr/>
          <w:p>
            <w:pPr>
              <w:pStyle w:val="Compact"/>
              <w:jc w:val="center"/>
            </w:pPr>
            <w:r>
              <w:t xml:space="preserve">0</w:t>
            </w:r>
          </w:p>
        </w:tc>
        <w:tc>
          <w:tcPr/>
          <w:p>
            <w:pPr>
              <w:pStyle w:val="Compact"/>
              <w:jc w:val="center"/>
            </w:pPr>
            <w:r>
              <w:t xml:space="preserve">1131</w:t>
            </w:r>
          </w:p>
        </w:tc>
      </w:tr>
      <w:tr>
        <w:tc>
          <w:tcPr/>
          <w:p>
            <w:pPr>
              <w:pStyle w:val="Compact"/>
              <w:jc w:val="center"/>
            </w:pPr>
            <w:r>
              <w:rPr>
                <w:bCs/>
                <w:b/>
              </w:rPr>
              <w:t xml:space="preserve">placebo</w:t>
            </w:r>
          </w:p>
        </w:tc>
        <w:tc>
          <w:tcPr/>
          <w:p>
            <w:pPr>
              <w:pStyle w:val="Compact"/>
              <w:jc w:val="center"/>
            </w:pPr>
            <w:r>
              <w:t xml:space="preserve">18</w:t>
            </w:r>
          </w:p>
        </w:tc>
        <w:tc>
          <w:tcPr/>
          <w:p>
            <w:pPr>
              <w:pStyle w:val="Compact"/>
              <w:jc w:val="center"/>
            </w:pPr>
            <w:r>
              <w:t xml:space="preserve">1111</w:t>
            </w:r>
          </w:p>
        </w:tc>
      </w:tr>
    </w:tbl>
    <w:p>
      <w:pPr>
        <w:numPr>
          <w:ilvl w:val="0"/>
          <w:numId w:val="1020"/>
        </w:numPr>
      </w:pPr>
      <w:r>
        <w:t xml:space="preserve">A random sample of 1629 U.S. adults obtained from NHANES data was used to investigate whether asthma is more common in women than in men.</w:t>
      </w:r>
    </w:p>
    <w:p>
      <w:pPr>
        <w:numPr>
          <w:ilvl w:val="1"/>
          <w:numId w:val="1021"/>
        </w:numPr>
        <w:pStyle w:val="Compact"/>
      </w:pPr>
      <w:r>
        <w:t xml:space="preserve">Identify the outcome of interest and groupings.</w:t>
      </w:r>
    </w:p>
    <w:p>
      <w:pPr>
        <w:numPr>
          <w:ilvl w:val="1"/>
          <w:numId w:val="1021"/>
        </w:numPr>
        <w:pStyle w:val="Compact"/>
      </w:pPr>
      <w:r>
        <w:t xml:space="preserve">Identify the study design.</w:t>
      </w:r>
    </w:p>
    <w:p>
      <w:pPr>
        <w:numPr>
          <w:ilvl w:val="1"/>
          <w:numId w:val="1021"/>
        </w:numPr>
        <w:pStyle w:val="Compact"/>
      </w:pPr>
      <w:r>
        <w:t xml:space="preserve">Based on the study design, is the odds ratio or relative risk a more appropriate inferential target?</w:t>
      </w:r>
    </w:p>
    <w:p>
      <w:pPr>
        <w:numPr>
          <w:ilvl w:val="1"/>
          <w:numId w:val="1021"/>
        </w:numPr>
        <w:pStyle w:val="Compact"/>
      </w:pPr>
      <w:r>
        <w:t xml:space="preserve">Perform inference according to your answer in (c); carry out a test and compute a confidence interval.</w:t>
      </w:r>
    </w:p>
    <w:tbl>
      <w:tblPr>
        <w:tblStyle w:val="Table"/>
        <w:tblW w:type="pct" w:w="1736"/>
        <w:tblLook w:firstRow="1" w:lastRow="0" w:firstColumn="0" w:lastColumn="0" w:noHBand="0" w:noVBand="0" w:val="0020"/>
        <w:jc w:val="start"/>
        <w:tblLayout w:type="fixed"/>
      </w:tblPr>
      <w:tblGrid>
        <w:gridCol w:w="1430"/>
        <w:gridCol w:w="660"/>
        <w:gridCol w:w="660"/>
      </w:tblGrid>
      <w:tr>
        <w:trPr>
          <w:tblHeader w:val="true"/>
        </w:trPr>
        <w:tc>
          <w:tcPr/>
          <w:p>
            <w:pPr>
              <w:pStyle w:val="Compact"/>
              <w:jc w:val="center"/>
            </w:pPr>
            <w:r>
              <w:t xml:space="preserve"> </w:t>
            </w:r>
          </w:p>
        </w:tc>
        <w:tc>
          <w:tcPr/>
          <w:p>
            <w:pPr>
              <w:pStyle w:val="Compact"/>
              <w:jc w:val="center"/>
            </w:pPr>
            <w:r>
              <w:t xml:space="preserve">yes</w:t>
            </w:r>
          </w:p>
        </w:tc>
        <w:tc>
          <w:tcPr/>
          <w:p>
            <w:pPr>
              <w:pStyle w:val="Compact"/>
              <w:jc w:val="center"/>
            </w:pPr>
            <w:r>
              <w:t xml:space="preserve">no</w:t>
            </w:r>
          </w:p>
        </w:tc>
      </w:tr>
      <w:tr>
        <w:tc>
          <w:tcPr/>
          <w:p>
            <w:pPr>
              <w:pStyle w:val="Compact"/>
              <w:jc w:val="center"/>
            </w:pPr>
            <w:r>
              <w:rPr>
                <w:bCs/>
                <w:b/>
              </w:rPr>
              <w:t xml:space="preserve">female</w:t>
            </w:r>
          </w:p>
        </w:tc>
        <w:tc>
          <w:tcPr/>
          <w:p>
            <w:pPr>
              <w:pStyle w:val="Compact"/>
              <w:jc w:val="center"/>
            </w:pPr>
            <w:r>
              <w:t xml:space="preserve">49</w:t>
            </w:r>
          </w:p>
        </w:tc>
        <w:tc>
          <w:tcPr/>
          <w:p>
            <w:pPr>
              <w:pStyle w:val="Compact"/>
              <w:jc w:val="center"/>
            </w:pPr>
            <w:r>
              <w:t xml:space="preserve">781</w:t>
            </w:r>
          </w:p>
        </w:tc>
      </w:tr>
      <w:tr>
        <w:tc>
          <w:tcPr/>
          <w:p>
            <w:pPr>
              <w:pStyle w:val="Compact"/>
              <w:jc w:val="center"/>
            </w:pPr>
            <w:r>
              <w:rPr>
                <w:bCs/>
                <w:b/>
              </w:rPr>
              <w:t xml:space="preserve">male</w:t>
            </w:r>
          </w:p>
        </w:tc>
        <w:tc>
          <w:tcPr/>
          <w:p>
            <w:pPr>
              <w:pStyle w:val="Compact"/>
              <w:jc w:val="center"/>
            </w:pPr>
            <w:r>
              <w:t xml:space="preserve">30</w:t>
            </w:r>
          </w:p>
        </w:tc>
        <w:tc>
          <w:tcPr/>
          <w:p>
            <w:pPr>
              <w:pStyle w:val="Compact"/>
              <w:jc w:val="center"/>
            </w:pPr>
            <w:r>
              <w:t xml:space="preserve">769</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Inference for relative risk and odds ratios</dc:title>
  <dc:creator>STAT218</dc:creator>
  <cp:keywords/>
  <dcterms:created xsi:type="dcterms:W3CDTF">2024-03-05T00:38:50Z</dcterms:created>
  <dcterms:modified xsi:type="dcterms:W3CDTF">2024-03-05T00:38:50Z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