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More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lab covers two separate topics: measures of spread and bivariate graphical summaries. There are two goals for the activity:</w:t>
      </w:r>
    </w:p>
    <w:p>
      <w:pPr>
        <w:numPr>
          <w:ilvl w:val="0"/>
          <w:numId w:val="1001"/>
        </w:numPr>
        <w:pStyle w:val="Compact"/>
      </w:pPr>
      <w:r>
        <w:t xml:space="preserve">learn to calculate measures of spread (IQR and standard deviation) and explore their robustness to outliers</w:t>
      </w:r>
    </w:p>
    <w:p>
      <w:pPr>
        <w:numPr>
          <w:ilvl w:val="0"/>
          <w:numId w:val="1001"/>
        </w:numPr>
        <w:pStyle w:val="Compact"/>
      </w:pPr>
      <w:r>
        <w:t xml:space="preserve">learn to produce joint summaries of two variables for identifying relationships</w:t>
      </w:r>
    </w:p>
    <w:p>
      <w:pPr>
        <w:numPr>
          <w:ilvl w:val="1"/>
          <w:numId w:val="1002"/>
        </w:numPr>
        <w:pStyle w:val="Compact"/>
      </w:pPr>
      <w:r>
        <w:t xml:space="preserve">contingency tables</w:t>
      </w:r>
    </w:p>
    <w:p>
      <w:pPr>
        <w:numPr>
          <w:ilvl w:val="1"/>
          <w:numId w:val="1002"/>
        </w:numPr>
        <w:pStyle w:val="Compact"/>
      </w:pPr>
      <w:r>
        <w:t xml:space="preserve">proportional barplots</w:t>
      </w:r>
    </w:p>
    <w:p>
      <w:pPr>
        <w:numPr>
          <w:ilvl w:val="1"/>
          <w:numId w:val="1002"/>
        </w:numPr>
        <w:pStyle w:val="Compact"/>
      </w:pPr>
      <w:r>
        <w:t xml:space="preserve">scatterplots</w:t>
      </w:r>
    </w:p>
    <w:p>
      <w:pPr>
        <w:numPr>
          <w:ilvl w:val="1"/>
          <w:numId w:val="1002"/>
        </w:numPr>
        <w:pStyle w:val="Compact"/>
      </w:pPr>
      <w:r>
        <w:t xml:space="preserve">side-by-side boxplots</w:t>
      </w:r>
    </w:p>
    <w:p>
      <w:pPr>
        <w:pStyle w:val="FirstParagraph"/>
      </w:pPr>
      <w:r>
        <w:t xml:space="preserve">We will use the FAMuSS dataset again.</w:t>
      </w:r>
    </w:p>
    <w:p>
      <w:pPr>
        <w:pStyle w:val="SourceCode"/>
      </w:pPr>
      <w:r>
        <w:rPr>
          <w:rStyle w:val="CommentTok"/>
        </w:rPr>
        <w:t xml:space="preserve"># openintro biostat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CommentTok"/>
        </w:rPr>
        <w:t xml:space="preserve"># famuss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(famuss)</w:t>
      </w:r>
    </w:p>
    <w:bookmarkStart w:id="23" w:name="robustness-and-measures-of-spread"/>
    <w:p>
      <w:pPr>
        <w:pStyle w:val="Heading3"/>
      </w:pPr>
      <w:r>
        <w:t xml:space="preserve">Robustness and measures of spread</w:t>
      </w:r>
    </w:p>
    <w:p>
      <w:pPr>
        <w:pStyle w:val="FirstParagraph"/>
      </w:pPr>
      <w:r>
        <w:t xml:space="preserve">Let’s explore how some of the other descriptive statistics we’ve discussed behave in response to outliers. Specifically, measures of spread: standard deviation and IQR.</w:t>
      </w:r>
    </w:p>
    <w:p>
      <w:pPr>
        <w:pStyle w:val="SourceCode"/>
      </w:pPr>
      <w:r>
        <w:rPr>
          <w:rStyle w:val="CommentTok"/>
        </w:rPr>
        <w:t xml:space="preserve"># extract dominant arm percent change in strength</w:t>
      </w:r>
      <w:r>
        <w:br/>
      </w:r>
      <w:r>
        <w:rPr>
          <w:rStyle w:val="NormalTok"/>
        </w:rPr>
        <w:t xml:space="preserve">drm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drm.ch</w:t>
      </w:r>
      <w:r>
        <w:br/>
      </w:r>
      <w:r>
        <w:br/>
      </w:r>
      <w:r>
        <w:rPr>
          <w:rStyle w:val="CommentTok"/>
        </w:rPr>
        <w:t xml:space="preserve"># calculate standard deviation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interquartile range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average deviation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(drm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(drm)))</w:t>
      </w:r>
      <w:r>
        <w:br/>
      </w:r>
      <w:r>
        <w:br/>
      </w:r>
      <w:r>
        <w:rPr>
          <w:rStyle w:val="CommentTok"/>
        </w:rPr>
        <w:t xml:space="preserve"># range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range endpoints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variable you just looked at — dominant arm percent change in strength — has a group of observations over 60%.</w:t>
      </w:r>
    </w:p>
    <w:p>
      <w:pPr>
        <w:pStyle w:val="SourceCode"/>
      </w:pPr>
      <w:r>
        <w:rPr>
          <w:rStyle w:val="CommentTok"/>
        </w:rPr>
        <w:t xml:space="preserve"># boxplot of percent change in dominant arm strength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these are removed, the standard deviation increases by 24%, but the IQR only increases by 18%.</w:t>
      </w:r>
    </w:p>
    <w:p>
      <w:pPr>
        <w:pStyle w:val="SourceCode"/>
      </w:pPr>
      <w:r>
        <w:rPr>
          <w:rStyle w:val="CommentTok"/>
        </w:rPr>
        <w:t xml:space="preserve"># drop the observations over 60%</w:t>
      </w:r>
      <w:r>
        <w:br/>
      </w:r>
      <w:r>
        <w:rPr>
          <w:rStyle w:val="NormalTok"/>
        </w:rPr>
        <w:t xml:space="preserve">drm.drop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drm[drm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compute the numeric summary with and without outliers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standard deviations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interquartile ranges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(drm.drop)</w:t>
      </w:r>
    </w:p>
    <w:p>
      <w:pPr>
        <w:pStyle w:val="FirstParagraph"/>
      </w:pPr>
      <w:r>
        <w:t xml:space="preserve">This may not seem very notable, so let’s make up an example that’s a bit more extreme: let’s add a very large positive observation, say, 1000. Then, the IQR does not change at all, but the standard deviation more than doubles!</w:t>
      </w:r>
    </w:p>
    <w:p>
      <w:pPr>
        <w:pStyle w:val="SourceCode"/>
      </w:pPr>
      <w:r>
        <w:rPr>
          <w:rStyle w:val="CommentTok"/>
        </w:rPr>
        <w:t xml:space="preserve"># add a large observation</w:t>
      </w:r>
      <w:r>
        <w:br/>
      </w:r>
      <w:r>
        <w:rPr>
          <w:rStyle w:val="NormalTok"/>
        </w:rPr>
        <w:t xml:space="preserve">drm.add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(drm,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IQR with and without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compare SD with and without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differences in robustness between IQR and standard deviation, and between mean and median, are largely why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the five-number summary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mean and standard deviation are reported. When these statistics differ dramatically, it is most likely due to the presence of outliers!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the numeric summary for a variable from a different dataset and</w:t>
            </w:r>
            <w:r>
              <w:t xml:space="preserve"> </w:t>
            </w:r>
            <w:r>
              <w:rPr>
                <w:iCs/>
                <w:i/>
              </w:rPr>
              <w:t xml:space="preserve">based on this alone</w:t>
            </w:r>
            <w:r>
              <w:t xml:space="preserve"> </w:t>
            </w:r>
            <w:r>
              <w:t xml:space="preserve">attempt a guess at whether there are outliers. If so, are they more likely outliers to the left or right?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load a new dataset (census)</w:t>
            </w:r>
            <w:r>
              <w:br/>
            </w:r>
            <w:r>
              <w:rPr>
                <w:rStyle w:val="FunctionTok"/>
              </w:rPr>
              <w:t xml:space="preserve">data</w:t>
            </w:r>
            <w:r>
              <w:rPr>
                <w:rStyle w:val="NormalTok"/>
              </w:rPr>
              <w:t xml:space="preserve">(census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number of doctors per state (thousands)</w:t>
            </w:r>
            <w:r>
              <w:br/>
            </w:r>
            <w:r>
              <w:rPr>
                <w:rStyle w:val="NormalTok"/>
              </w:rPr>
              <w:t xml:space="preserve">doctors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doctors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numeric summary -- guess whether there are outliers?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histogram or boxplot to confirm your guess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bonus: can you figure out which state??</w:t>
            </w:r>
          </w:p>
        </w:tc>
      </w:tr>
    </w:tbl>
    <w:bookmarkEnd w:id="23"/>
    <w:bookmarkStart w:id="33" w:name="bivariate-graphics"/>
    <w:p>
      <w:pPr>
        <w:pStyle w:val="Heading3"/>
      </w:pPr>
      <w:r>
        <w:t xml:space="preserve">Bivariate graphics</w:t>
      </w:r>
    </w:p>
    <w:p>
      <w:pPr>
        <w:pStyle w:val="FirstParagraph"/>
      </w:pPr>
      <w:r>
        <w:t xml:space="preserve">This part of the lab is organized according to which types of variables are being compared as potentially related. In each sub-part, you’ll see a series of examples that illustrate how to produce a given graphic or other summary, and then you’ll have an opportunity to try it with a different pair of variables from the FAMuSS study data.</w:t>
      </w:r>
    </w:p>
    <w:bookmarkStart w:id="26" w:name="categoricalcategorical"/>
    <w:p>
      <w:pPr>
        <w:pStyle w:val="Heading4"/>
      </w:pPr>
      <w:r>
        <w:t xml:space="preserve">Categorical/categorical</w:t>
      </w:r>
    </w:p>
    <w:p>
      <w:pPr>
        <w:pStyle w:val="FirstParagraph"/>
      </w:pPr>
      <w:r>
        <w:t xml:space="preserve">Consider:</w:t>
      </w:r>
      <w:r>
        <w:t xml:space="preserve"> </w:t>
      </w:r>
      <w:r>
        <w:rPr>
          <w:iCs/>
          <w:i/>
        </w:rPr>
        <w:t xml:space="preserve">is there differential expression of the ACTN gene region of interest between sexes?</w:t>
      </w:r>
    </w:p>
    <w:p>
      <w:pPr>
        <w:pStyle w:val="BodyText"/>
      </w:pPr>
      <w:r>
        <w:t xml:space="preserve">This can be answered by comparing the proportions of study participants of each genotype by sex. The steps are:</w:t>
      </w:r>
    </w:p>
    <w:p>
      <w:pPr>
        <w:numPr>
          <w:ilvl w:val="0"/>
          <w:numId w:val="1003"/>
        </w:numPr>
        <w:pStyle w:val="Compact"/>
      </w:pPr>
      <w:r>
        <w:t xml:space="preserve">Start by making a contingency table</w:t>
      </w:r>
    </w:p>
    <w:p>
      <w:pPr>
        <w:numPr>
          <w:ilvl w:val="0"/>
          <w:numId w:val="1003"/>
        </w:numPr>
        <w:pStyle w:val="Compact"/>
      </w:pPr>
      <w:r>
        <w:t xml:space="preserve">Convert to proportions using the appropriate row/column sums</w:t>
      </w:r>
    </w:p>
    <w:p>
      <w:pPr>
        <w:numPr>
          <w:ilvl w:val="0"/>
          <w:numId w:val="1003"/>
        </w:numPr>
        <w:pStyle w:val="Compact"/>
      </w:pPr>
      <w:r>
        <w:t xml:space="preserve">Visualize and compare genotype composition by group</w:t>
      </w:r>
    </w:p>
    <w:p>
      <w:pPr>
        <w:pStyle w:val="FirstParagraph"/>
      </w:pPr>
      <w:r>
        <w:t xml:space="preserve">The examples below illustrate how to perform these steps. As you’re walking through them, consider which summary answers the question — do you want to compute proportions using the genotype totals or the sex totals?</w:t>
      </w:r>
    </w:p>
    <w:p>
      <w:pPr>
        <w:pStyle w:val="SourceCode"/>
      </w:pPr>
      <w:r>
        <w:rPr>
          <w:rStyle w:val="CommentTok"/>
        </w:rPr>
        <w:t xml:space="preserve"># retrieve the genotype and sex columns</w:t>
      </w:r>
      <w:r>
        <w:br/>
      </w:r>
      <w:r>
        <w:rPr>
          <w:rStyle w:val="NormalTok"/>
        </w:rPr>
        <w:t xml:space="preserve">genotype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br/>
      </w:r>
      <w:r>
        <w:rPr>
          <w:rStyle w:val="CommentTok"/>
        </w:rPr>
        <w:t xml:space="preserve"># construct a contingency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(genotype, sex)</w:t>
      </w:r>
      <w:r>
        <w:br/>
      </w:r>
      <w:r>
        <w:br/>
      </w:r>
      <w:r>
        <w:rPr>
          <w:rStyle w:val="CommentTok"/>
        </w:rPr>
        <w:t xml:space="preserve"># stacked bar plots -- automatically groups by column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actn3.r577x,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turn the table on its side with t() to group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row and column margins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</w:t>
      </w:r>
      <w:r>
        <w:br/>
      </w:r>
      <w:r>
        <w:br/>
      </w:r>
      <w:r>
        <w:rPr>
          <w:rStyle w:val="CommentTok"/>
        </w:rPr>
        <w:t xml:space="preserve"># proportions, grouping by row</w:t>
      </w:r>
      <w:r>
        <w:br/>
      </w:r>
      <w:r>
        <w:rPr>
          <w:rStyle w:val="NormalTok"/>
        </w:rPr>
        <w:t xml:space="preserve">tbl_row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tbl_row</w:t>
      </w:r>
      <w:r>
        <w:br/>
      </w:r>
      <w:r>
        <w:br/>
      </w:r>
      <w:r>
        <w:rPr>
          <w:rStyle w:val="CommentTok"/>
        </w:rPr>
        <w:t xml:space="preserve"># proportional stacked bar plot, grouped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(tbl_row),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proportions, grouping by column (a little trickier)</w:t>
      </w:r>
      <w:r>
        <w:br/>
      </w:r>
      <w:r>
        <w:rPr>
          <w:rStyle w:val="NormalTok"/>
        </w:rPr>
        <w:t xml:space="preserve">tbl_col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(tbl))</w:t>
      </w:r>
      <w:r>
        <w:br/>
      </w:r>
      <w:r>
        <w:rPr>
          <w:rStyle w:val="NormalTok"/>
        </w:rPr>
        <w:t xml:space="preserve">tbl_col</w:t>
      </w:r>
      <w:r>
        <w:br/>
      </w:r>
      <w:r>
        <w:br/>
      </w:r>
      <w:r>
        <w:rPr>
          <w:rStyle w:val="CommentTok"/>
        </w:rPr>
        <w:t xml:space="preserve"># proportional stacked bar plot, groupde by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(tbl_col,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T)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Is there differential expression of the ACTN gene region by racial group?</w:t>
            </w:r>
          </w:p>
          <w:p>
            <w:pPr>
              <w:pStyle w:val="BodyText"/>
            </w:pPr>
            <w:r>
              <w:t xml:space="preserve">Follow the examples above to make a contingency table and bar plot of genotype composition for each racial group. Do you see differences?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genotype and race columns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contingency table of genotype and race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are there apparent genotype differences by race? make an appropriate bar plot</w:t>
            </w:r>
          </w:p>
        </w:tc>
      </w:tr>
    </w:tbl>
    <w:bookmarkEnd w:id="26"/>
    <w:bookmarkStart w:id="29" w:name="numericnumeric"/>
    <w:p>
      <w:pPr>
        <w:pStyle w:val="Heading4"/>
      </w:pPr>
      <w:r>
        <w:t xml:space="preserve">Numeric/numeric</w:t>
      </w:r>
    </w:p>
    <w:p>
      <w:pPr>
        <w:pStyle w:val="FirstParagraph"/>
      </w:pPr>
      <w:r>
        <w:t xml:space="preserve">Taller people tend to be heavier. We should expect a relationship between weight and height. The example below shows a scatterplot of the two variables, and computes the correlation (measure of linear relationship).</w:t>
      </w:r>
    </w:p>
    <w:p>
      <w:pPr>
        <w:pStyle w:val="SourceCode"/>
      </w:pPr>
      <w:r>
        <w:rPr>
          <w:rStyle w:val="CommentTok"/>
        </w:rPr>
        <w:t xml:space="preserve"># retrieve height and weight columns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br/>
      </w:r>
      <w:r>
        <w:rPr>
          <w:rStyle w:val="CommentTok"/>
        </w:rPr>
        <w:t xml:space="preserve"># basic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(height, weight)</w:t>
      </w:r>
      <w:r>
        <w:br/>
      </w:r>
      <w:r>
        <w:br/>
      </w:r>
      <w:r>
        <w:rPr>
          <w:rStyle w:val="CommentTok"/>
        </w:rPr>
        <w:t xml:space="preserve"># 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(weight, height)</w:t>
      </w:r>
    </w:p>
    <w:p>
      <w:pPr>
        <w:pStyle w:val="FirstParagraph"/>
      </w:pPr>
      <w:r>
        <w:t xml:space="preserve">A rough rule of thumb for interpreting correlations is as follows:</w:t>
      </w:r>
    </w:p>
    <w:p>
      <w:pPr>
        <w:numPr>
          <w:ilvl w:val="0"/>
          <w:numId w:val="1004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0.3</m:t>
        </m:r>
      </m:oMath>
      <w:r>
        <w:t xml:space="preserve">: no relationship</w:t>
      </w:r>
    </w:p>
    <w:p>
      <w:pPr>
        <w:numPr>
          <w:ilvl w:val="0"/>
          <w:numId w:val="1004"/>
        </w:numPr>
        <w:pStyle w:val="Compact"/>
      </w:pPr>
      <m:oMath>
        <m:r>
          <m:t>0.3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0.6</m:t>
        </m:r>
      </m:oMath>
      <w:r>
        <w:t xml:space="preserve">: weak to moderate relationship</w:t>
      </w:r>
    </w:p>
    <w:p>
      <w:pPr>
        <w:numPr>
          <w:ilvl w:val="0"/>
          <w:numId w:val="1004"/>
        </w:numPr>
        <w:pStyle w:val="Compact"/>
      </w:pPr>
      <m:oMath>
        <m:r>
          <m:t>0.6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1</m:t>
        </m:r>
      </m:oMath>
      <w:r>
        <w:t xml:space="preserve">: moderate to strong relationship</w:t>
      </w:r>
    </w:p>
    <w:p>
      <w:pPr>
        <w:pStyle w:val="FirstParagraph"/>
      </w:pPr>
      <w:r>
        <w:t xml:space="preserve">In this case, the correlation of 0.53 indicates a moderate positive relationship.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Is there a relationship between nondominant and dominant percent change in arm strength? Make a scatterplot and compute the correlation.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percent change variables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construct a scatterplot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the correlation</w:t>
            </w:r>
          </w:p>
        </w:tc>
      </w:tr>
    </w:tbl>
    <w:bookmarkEnd w:id="29"/>
    <w:bookmarkStart w:id="32" w:name="categoricalnumeric"/>
    <w:p>
      <w:pPr>
        <w:pStyle w:val="Heading4"/>
      </w:pPr>
      <w:r>
        <w:t xml:space="preserve">Categorical/numeric</w:t>
      </w:r>
    </w:p>
    <w:p>
      <w:pPr>
        <w:pStyle w:val="FirstParagraph"/>
      </w:pPr>
      <w:r>
        <w:t xml:space="preserve">Consider one of the main questions for the study:</w:t>
      </w:r>
    </w:p>
    <w:p>
      <w:pPr>
        <w:pStyle w:val="BlockText"/>
      </w:pPr>
      <w:r>
        <w:rPr>
          <w:iCs/>
          <w:i/>
        </w:rPr>
        <w:t xml:space="preserve">Were differences on the ACTN gene region associated with differential change in arm strength after resistance training?</w:t>
      </w:r>
    </w:p>
    <w:p>
      <w:pPr>
        <w:pStyle w:val="FirstParagraph"/>
      </w:pPr>
      <w:r>
        <w:t xml:space="preserve">This is a comparison between a categorical variable (genotype) and numeric variable (percent change in arm strength). Of course, we have measurements for both dominant and non-dominant arms; while there are other ways of handling this, we’ll just make comparisons separately for each arm.</w:t>
      </w:r>
    </w:p>
    <w:p>
      <w:pPr>
        <w:pStyle w:val="BodyText"/>
      </w:pPr>
      <w:r>
        <w:t xml:space="preserve">The examples below produce boxplots for a quick comparison of the summary statistics of percent change in arm strength between genotypes. Recall that the summary statistics are summarizing the frequency distribution.</w:t>
      </w:r>
    </w:p>
    <w:p>
      <w:pPr>
        <w:pStyle w:val="SourceCode"/>
      </w:pPr>
      <w:r>
        <w:rPr>
          <w:rStyle w:val="CommentTok"/>
        </w:rPr>
        <w:t xml:space="preserve"># side-by-side boxplots for non-dominant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famuss)</w:t>
      </w:r>
      <w:r>
        <w:br/>
      </w:r>
      <w:r>
        <w:br/>
      </w:r>
      <w:r>
        <w:rPr>
          <w:rStyle w:val="CommentTok"/>
        </w:rPr>
        <w:t xml:space="preserve"># change the orientation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change the whisker length (range = multiples of IQR)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side-by-side boxplots for 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There are some slight observed differences for the non-dominant arm, but it’s unclear whether they are meaningful. We’ll return to that later, but for now, try the graphical technique with a different set of variables.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Investigate whether BMI seems to differ by racial group among the FAMuSS study participants.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make side-by-side boxplots of BMI by race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More descriptive statistics</dc:title>
  <dc:creator>STAT218</dc:creator>
  <cp:keywords/>
  <dcterms:created xsi:type="dcterms:W3CDTF">2024-01-29T03:23:44Z</dcterms:created>
  <dcterms:modified xsi:type="dcterms:W3CDTF">2024-01-29T03:23:44Z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