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April</w:t>
      </w:r>
      <w:r>
        <w:t xml:space="preserve"> </w:t>
      </w:r>
      <w:r>
        <w:t xml:space="preserve">2024</w:t>
      </w:r>
    </w:p>
    <w:p>
      <w:pPr>
        <w:pStyle w:val="BlockText"/>
      </w:pPr>
      <w:r>
        <w:t xml:space="preserve">Statistics plays a crucial role in the sciences: statistical techniques provide a means of weighing quantitative evidence derived from observation and experimentation while accounting for uncertainty. Statistical thinking and data analysis also facilitate discovery, exploration, and hypothesis generation. 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 12:10pm — 2:00pm MW Construction Innovations Center Room C100</w:t>
      </w:r>
    </w:p>
    <w:p>
      <w:pPr>
        <w:numPr>
          <w:ilvl w:val="0"/>
          <w:numId w:val="1001"/>
        </w:numPr>
        <w:pStyle w:val="Compact"/>
      </w:pPr>
      <w:r>
        <w:t xml:space="preserve">[Section 06] 2:10pm — 4:00pm MW Construction Innovations Center Room C100</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8:10am — 11:00am Mondays 25-236 or Zoom [</w:t>
      </w:r>
      <w:hyperlink r:id="rId21">
        <w:r>
          <w:rPr>
            <w:rStyle w:val="Hyperlink"/>
          </w:rPr>
          <w:t xml:space="preserve">by appointment</w:t>
        </w:r>
      </w:hyperlink>
      <w:r>
        <w:t xml:space="preserve">].</w:t>
      </w:r>
    </w:p>
    <w:p>
      <w:pPr>
        <w:pStyle w:val="BodyText"/>
      </w:pPr>
      <w:r>
        <w:t xml:space="preserve">These times are partitioned into 15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p>
      <w:pPr>
        <w:pStyle w:val="BodyText"/>
      </w:pPr>
      <w:r>
        <w:rPr>
          <w:bCs/>
          <w:b/>
        </w:rPr>
        <w:t xml:space="preserve">Catalog Description:</w:t>
      </w:r>
      <w:r>
        <w:t xml:space="preserve"> </w:t>
      </w: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r>
        <w:t xml:space="preserve"> </w:t>
      </w:r>
      <w:r>
        <w:rPr>
          <w:iCs/>
          <w:i/>
        </w:rPr>
        <w:t xml:space="preserve">Prerequisite: MATH 96; or MATH 115; or appropriate Math Placement Level. Fulfills GE Area B4 (GE Area B1 for students on the 2019-20 or earlier catalogs); a grade of C- or better is required in one course in this GE area.</w:t>
      </w:r>
    </w:p>
    <w:bookmarkEnd w:id="22"/>
    <w:bookmarkStart w:id="27" w:name="materials"/>
    <w:p>
      <w:pPr>
        <w:pStyle w:val="Heading3"/>
      </w:pPr>
      <w:r>
        <w:t xml:space="preserve">Materials</w:t>
      </w:r>
    </w:p>
    <w:p>
      <w:pPr>
        <w:pStyle w:val="FirstParagraph"/>
      </w:pPr>
      <w:r>
        <w:t xml:space="preserve">You’ll need an internet-connected laptop or tablet (a keyboard is necessary since we will do some web-hosted computation and you will be expected to type assignments). You should expect to bring your laptop or tablet to every class meeting.</w:t>
      </w:r>
    </w:p>
    <w:p>
      <w:pPr>
        <w:pStyle w:val="BodyText"/>
      </w:pPr>
      <w:r>
        <w:rPr>
          <w:bCs/>
          <w:b/>
        </w:rPr>
        <w:t xml:space="preserve">Computing</w:t>
      </w:r>
      <w:r>
        <w:t xml:space="preserve">: use of R/RStudio will be hosted online via a posit.cloud workspace [</w:t>
      </w:r>
      <w:hyperlink r:id="rId23">
        <w:r>
          <w:rPr>
            <w:rStyle w:val="Hyperlink"/>
          </w:rPr>
          <w:t xml:space="preserve">link to join</w:t>
        </w:r>
      </w:hyperlink>
      <w:r>
        <w:t xml:space="preserve">]. To access the workspace, you’ll need to create a posit.cloud account and purchase a $5/month student plan.</w:t>
      </w:r>
    </w:p>
    <w:p>
      <w:pPr>
        <w:pStyle w:val="BodyText"/>
      </w:pPr>
      <w:r>
        <w:rPr>
          <w:bCs/>
          <w:b/>
        </w:rPr>
        <w:t xml:space="preserve">Textbook</w:t>
      </w:r>
      <w:r>
        <w:t xml:space="preserve">: 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pStyle w:val="BodyText"/>
      </w:pPr>
      <w:r>
        <w:rPr>
          <w:bCs/>
          <w:b/>
        </w:rPr>
        <w:t xml:space="preserve">Course notes</w:t>
      </w:r>
      <w:r>
        <w:t xml:space="preserve">: course notes will be posted as slides on the course website.</w:t>
      </w:r>
    </w:p>
    <w:p>
      <w:pPr>
        <w:pStyle w:val="BodyText"/>
      </w:pPr>
      <w:r>
        <w:rPr>
          <w:bCs/>
          <w:b/>
        </w:rPr>
        <w:t xml:space="preserve">Other references</w:t>
      </w:r>
      <w:r>
        <w:t xml:space="preserve">:</w:t>
      </w:r>
    </w:p>
    <w:p>
      <w:pPr>
        <w:numPr>
          <w:ilvl w:val="0"/>
          <w:numId w:val="1002"/>
        </w:numPr>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bookmarkEnd w:id="27"/>
    <w:bookmarkStart w:id="28" w:name="learning-outcomes"/>
    <w:p>
      <w:pPr>
        <w:pStyle w:val="Heading3"/>
      </w:pPr>
      <w:r>
        <w:t xml:space="preserve">Learning outcomes</w:t>
      </w:r>
    </w:p>
    <w:p>
      <w:pPr>
        <w:pStyle w:val="FirstParagraph"/>
      </w:pPr>
      <w:r>
        <w:t xml:space="preserve">This course aims to support you in developing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Emphasis is placed on conceptual fluency, application, and interpretation. In addition, you will learn to perform simple statistical analyses in R and can expect to develop a basic familiarity with the software; however, as this is not a programming class, the R environment will not be discussed in any detail and you will only learn to use a handful of commands.</w:t>
      </w:r>
    </w:p>
    <w:bookmarkEnd w:id="28"/>
    <w:bookmarkStart w:id="30" w:name="assessments"/>
    <w:p>
      <w:pPr>
        <w:pStyle w:val="Heading3"/>
      </w:pPr>
      <w:r>
        <w:t xml:space="preserve">Assessments</w:t>
      </w:r>
    </w:p>
    <w:p>
      <w:pPr>
        <w:pStyle w:val="FirstParagraph"/>
      </w:pPr>
      <w:r>
        <w:t xml:space="preserve">Attainment of learning outcomes will be measured by performance on homework assignments, tests, and a short project with an oral assessment in lieu of a final exam.</w:t>
      </w:r>
    </w:p>
    <w:p>
      <w:pPr>
        <w:numPr>
          <w:ilvl w:val="0"/>
          <w:numId w:val="1004"/>
        </w:numPr>
      </w:pPr>
      <w:r>
        <w:rPr>
          <w:bCs/>
          <w:b/>
        </w:rPr>
        <w:t xml:space="preserve">Homework assignments</w:t>
      </w:r>
      <w:r>
        <w:t xml:space="preserve"> </w:t>
      </w:r>
      <w:r>
        <w:t xml:space="preserve">will be given at the end of every class meeting and will comprise two practice problems due by the next class meeting. These are your opportunity to practice applying course concepts and methods covered in class and will help you to keep current with the pace and content of the lectures.</w:t>
      </w:r>
    </w:p>
    <w:p>
      <w:pPr>
        <w:numPr>
          <w:ilvl w:val="0"/>
          <w:numId w:val="1004"/>
        </w:numPr>
      </w:pPr>
      <w:r>
        <w:rPr>
          <w:bCs/>
          <w:b/>
        </w:rPr>
        <w:t xml:space="preserve">Tests</w:t>
      </w:r>
      <w:r>
        <w:t xml:space="preserve"> </w:t>
      </w:r>
      <w:r>
        <w:t xml:space="preserve">will be given every 2-3 weeks and will comprise roughly 10-20 problems each. These are your opportunity to demonstrate that you’ve synthesized course material and achieved learning outcomes, and you will have approximately 48 hours to complete each test. One round of revisions will be allowed for each test in which you can make up full credit for any problems answered incorrectly in your initial attempt.</w:t>
      </w:r>
    </w:p>
    <w:p>
      <w:pPr>
        <w:numPr>
          <w:ilvl w:val="0"/>
          <w:numId w:val="1004"/>
        </w:numPr>
      </w:pPr>
      <w:r>
        <w:t xml:space="preserve">A</w:t>
      </w:r>
      <w:r>
        <w:t xml:space="preserve"> </w:t>
      </w:r>
      <w:r>
        <w:rPr>
          <w:bCs/>
          <w:b/>
        </w:rPr>
        <w:t xml:space="preserve">project</w:t>
      </w:r>
      <w:r>
        <w:t xml:space="preserve"> </w:t>
      </w:r>
      <w:r>
        <w:t xml:space="preserve">with an oral assessment will be given in place of a final exam. However,</w:t>
      </w:r>
      <w:r>
        <w:t xml:space="preserve"> </w:t>
      </w:r>
      <w:r>
        <w:rPr>
          <w:bCs/>
          <w:b/>
        </w:rPr>
        <w:t xml:space="preserve">you will need to be available in person during the scheduled final exam time</w:t>
      </w:r>
      <w:r>
        <w:t xml:space="preserve">, as this is when the oral assessment will take place.</w:t>
      </w:r>
    </w:p>
    <w:p>
      <w:pPr>
        <w:pStyle w:val="FirstParagraph"/>
      </w:pPr>
      <w:r>
        <w:t xml:space="preserve">Every assessed problem will be matched to one of the learning outcomes L1-L10. All submitted work will be assessed on a question-by-question basis as satisfactory (S) or needing improvement (NI) according to whether responses are fully correct. The percentage of problems matched to a particular learning outcome for which you receive a satisfactory assessment provides a measure of your attainment of that learning outcome. These percentages form a basis for determining your course grade (see below).</w:t>
      </w:r>
    </w:p>
    <w:p>
      <w:pPr>
        <w:pStyle w:val="BodyText"/>
      </w:pPr>
      <w:r>
        <w:t xml:space="preserve">Due to limited resources we will only provide qualitative feedback on a small subset of assessed questions, and only when an assessment of NI is made. As such, it is your responsibility to seek the feedback you need to correct your understanding where needed via class engagement, office hours, peer consultation, further study, and [</w:t>
      </w:r>
      <w:hyperlink r:id="rId29">
        <w:r>
          <w:rPr>
            <w:rStyle w:val="Hyperlink"/>
          </w:rPr>
          <w:t xml:space="preserve">tutoring resources</w:t>
        </w:r>
      </w:hyperlink>
      <w:r>
        <w:t xml:space="preserve">].</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(possibly weighted) proportion of questions matched with that outcome that received a satisfactory assessment across all assignments. The outcome will be assessed as follows:</w:t>
      </w:r>
    </w:p>
    <w:p>
      <w:pPr>
        <w:numPr>
          <w:ilvl w:val="0"/>
          <w:numId w:val="1005"/>
        </w:numPr>
      </w:pPr>
      <w:r>
        <w:t xml:space="preserve">‘</w:t>
      </w:r>
      <w:r>
        <w:t xml:space="preserve">fully met</w:t>
      </w:r>
      <w:r>
        <w:t xml:space="preserve">’</w:t>
      </w:r>
      <w:r>
        <w:t xml:space="preserve"> </w:t>
      </w:r>
      <w:r>
        <w:t xml:space="preserve">if the proportion is at least 0.8</w:t>
      </w:r>
    </w:p>
    <w:p>
      <w:pPr>
        <w:numPr>
          <w:ilvl w:val="0"/>
          <w:numId w:val="1005"/>
        </w:numPr>
      </w:pPr>
      <w:r>
        <w:t xml:space="preserve">‘</w:t>
      </w:r>
      <w:r>
        <w:t xml:space="preserve">partly met</w:t>
      </w:r>
      <w:r>
        <w:t xml:space="preserve">’</w:t>
      </w:r>
      <w:r>
        <w:t xml:space="preserve"> </w:t>
      </w:r>
      <w:r>
        <w:t xml:space="preserve">if the proportion is between 0.5 and 0.8</w:t>
      </w:r>
    </w:p>
    <w:p>
      <w:pPr>
        <w:numPr>
          <w:ilvl w:val="0"/>
          <w:numId w:val="1005"/>
        </w:numPr>
      </w:pPr>
      <w:r>
        <w:t xml:space="preserve">‘</w:t>
      </w:r>
      <w:r>
        <w:t xml:space="preserve">unmet</w:t>
      </w:r>
      <w:r>
        <w:t xml:space="preserve">’</w:t>
      </w:r>
      <w:r>
        <w:t xml:space="preserve"> </w:t>
      </w:r>
      <w:r>
        <w:t xml:space="preserve">otherwise</w:t>
      </w:r>
    </w:p>
    <w:p>
      <w:pPr>
        <w:pStyle w:val="FirstParagraph"/>
      </w:pPr>
      <w:r>
        <w:t xml:space="preserve">You will receive periodic email summaries of your progress on each learning outcome.</w:t>
      </w:r>
      <w:r>
        <w:t xml:space="preserve"> </w:t>
      </w:r>
      <w:r>
        <w:rPr>
          <w:bCs/>
          <w:b/>
        </w:rPr>
        <w:t xml:space="preserve">To receive a passing grade in the class, at least six outcomes must be either partly or fully met.</w:t>
      </w:r>
      <w:r>
        <w:t xml:space="preserve"> </w:t>
      </w:r>
      <w:r>
        <w:t xml:space="preserve">Subject to this condition, letter grades are then defined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Grade</w:t>
            </w:r>
          </w:p>
        </w:tc>
        <w:tc>
          <w:tcPr/>
          <w:p>
            <w:pPr>
              <w:pStyle w:val="Compact"/>
              <w:jc w:val="left"/>
            </w:pPr>
            <w:r>
              <w:t xml:space="preserve">Number of fully met outcomes</w:t>
            </w:r>
          </w:p>
        </w:tc>
      </w:tr>
      <w:tr>
        <w:tc>
          <w:tcPr/>
          <w:p>
            <w:pPr>
              <w:pStyle w:val="Compact"/>
              <w:jc w:val="left"/>
            </w:pPr>
            <w:r>
              <w:t xml:space="preserve">A</w:t>
            </w:r>
          </w:p>
        </w:tc>
        <w:tc>
          <w:tcPr/>
          <w:p>
            <w:pPr>
              <w:pStyle w:val="Compact"/>
              <w:jc w:val="left"/>
            </w:pPr>
            <w:r>
              <w:t xml:space="preserve">10</w:t>
            </w:r>
          </w:p>
        </w:tc>
      </w:tr>
      <w:tr>
        <w:tc>
          <w:tcPr/>
          <w:p>
            <w:pPr>
              <w:pStyle w:val="Compact"/>
              <w:jc w:val="left"/>
            </w:pPr>
            <w:r>
              <w:t xml:space="preserve">A-</w:t>
            </w:r>
          </w:p>
        </w:tc>
        <w:tc>
          <w:tcPr/>
          <w:p>
            <w:pPr>
              <w:pStyle w:val="Compact"/>
              <w:jc w:val="left"/>
            </w:pPr>
            <w:r>
              <w:t xml:space="preserve">9</w:t>
            </w:r>
          </w:p>
        </w:tc>
      </w:tr>
      <w:tr>
        <w:tc>
          <w:tcPr/>
          <w:p>
            <w:pPr>
              <w:pStyle w:val="Compact"/>
              <w:jc w:val="left"/>
            </w:pPr>
            <w:r>
              <w:t xml:space="preserve">B+</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6</w:t>
            </w:r>
          </w:p>
        </w:tc>
      </w:tr>
      <w:tr>
        <w:tc>
          <w:tcPr/>
          <w:p>
            <w:pPr>
              <w:pStyle w:val="Compact"/>
              <w:jc w:val="left"/>
            </w:pPr>
            <w:r>
              <w:t xml:space="preserve">C+</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0</w:t>
            </w:r>
          </w:p>
        </w:tc>
      </w:tr>
    </w:tbl>
    <w:p>
      <w:pPr>
        <w:pStyle w:val="BodyText"/>
      </w:pPr>
      <w:r>
        <w:t xml:space="preserve">Please note that these definitions are tentative and potentially subject to change; however, I will not make the grading requirements more stringent under any circumstances.</w:t>
      </w:r>
    </w:p>
    <w:p>
      <w:pPr>
        <w:pStyle w:val="BodyText"/>
      </w:pPr>
      <w:r>
        <w:t xml:space="preserve">Please also note that failure to adhere to course policies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Layout w:type="fixed"/>
      </w:tblPr>
      <w:tblGrid>
        <w:gridCol w:w="1952"/>
        <w:gridCol w:w="2061"/>
        <w:gridCol w:w="1952"/>
        <w:gridCol w:w="1952"/>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Assessments</w:t>
            </w:r>
          </w:p>
        </w:tc>
      </w:tr>
      <w:tr>
        <w:tc>
          <w:tcPr/>
          <w:p>
            <w:pPr>
              <w:pStyle w:val="Compact"/>
              <w:jc w:val="left"/>
            </w:pPr>
            <w:r>
              <w:t xml:space="preserve">1 (4/1/24)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pPr>
          </w:p>
        </w:tc>
      </w:tr>
      <w:tr>
        <w:tc>
          <w:tcPr/>
          <w:p>
            <w:pPr>
              <w:pStyle w:val="Compact"/>
              <w:jc w:val="left"/>
            </w:pPr>
            <w:r>
              <w:t xml:space="preserve">2 (4/8/24)</w:t>
            </w:r>
          </w:p>
        </w:tc>
        <w:tc>
          <w:tcPr/>
          <w:p>
            <w:pPr>
              <w:pStyle w:val="Compact"/>
              <w:jc w:val="left"/>
            </w:pPr>
            <w:r>
              <w:t xml:space="preserve">Data, data types, and data collection</w:t>
            </w:r>
          </w:p>
        </w:tc>
        <w:tc>
          <w:tcPr/>
          <w:p>
            <w:pPr>
              <w:pStyle w:val="Compact"/>
              <w:jc w:val="left"/>
            </w:pPr>
            <w:r>
              <w:t xml:space="preserve">1.2</w:t>
            </w:r>
          </w:p>
        </w:tc>
        <w:tc>
          <w:tcPr/>
          <w:p>
            <w:pPr>
              <w:pStyle w:val="Compact"/>
            </w:pPr>
          </w:p>
        </w:tc>
      </w:tr>
      <w:tr>
        <w:tc>
          <w:tcPr/>
          <w:p>
            <w:pPr>
              <w:pStyle w:val="Compact"/>
              <w:jc w:val="left"/>
            </w:pPr>
            <w:r>
              <w:t xml:space="preserve">3 (4/15/24)</w:t>
            </w:r>
          </w:p>
        </w:tc>
        <w:tc>
          <w:tcPr/>
          <w:p>
            <w:pPr>
              <w:pStyle w:val="Compact"/>
              <w:jc w:val="left"/>
            </w:pPr>
            <w:r>
              <w:t xml:space="preserve">Descriptive statistics and graphical summaries</w:t>
            </w:r>
          </w:p>
        </w:tc>
        <w:tc>
          <w:tcPr/>
          <w:p>
            <w:pPr>
              <w:pStyle w:val="Compact"/>
              <w:jc w:val="left"/>
            </w:pPr>
            <w:r>
              <w:t xml:space="preserve">1.4, 1.5, 1.6</w:t>
            </w:r>
          </w:p>
        </w:tc>
        <w:tc>
          <w:tcPr/>
          <w:p>
            <w:pPr>
              <w:pStyle w:val="Compact"/>
              <w:jc w:val="left"/>
            </w:pPr>
            <w:r>
              <w:t xml:space="preserve">Test 1 [L1, L2, L3]</w:t>
            </w:r>
          </w:p>
        </w:tc>
      </w:tr>
      <w:tr>
        <w:tc>
          <w:tcPr/>
          <w:p>
            <w:pPr>
              <w:pStyle w:val="Compact"/>
              <w:jc w:val="left"/>
            </w:pPr>
            <w:r>
              <w:t xml:space="preserve">4 (4/22/24)</w:t>
            </w:r>
          </w:p>
        </w:tc>
        <w:tc>
          <w:tcPr/>
          <w:p>
            <w:pPr>
              <w:pStyle w:val="Compact"/>
              <w:jc w:val="left"/>
            </w:pPr>
            <w:r>
              <w:t xml:space="preserve">Foundations for inference</w:t>
            </w:r>
          </w:p>
        </w:tc>
        <w:tc>
          <w:tcPr/>
          <w:p>
            <w:pPr>
              <w:pStyle w:val="Compact"/>
              <w:jc w:val="left"/>
            </w:pPr>
            <w:r>
              <w:t xml:space="preserve">4.1, 4.2</w:t>
            </w:r>
          </w:p>
        </w:tc>
        <w:tc>
          <w:tcPr/>
          <w:p>
            <w:pPr>
              <w:pStyle w:val="Compact"/>
            </w:pPr>
          </w:p>
        </w:tc>
      </w:tr>
      <w:tr>
        <w:tc>
          <w:tcPr/>
          <w:p>
            <w:pPr>
              <w:pStyle w:val="Compact"/>
              <w:jc w:val="left"/>
            </w:pPr>
            <w:r>
              <w:t xml:space="preserve">5 (4/29/24)</w:t>
            </w:r>
          </w:p>
        </w:tc>
        <w:tc>
          <w:tcPr/>
          <w:p>
            <w:pPr>
              <w:pStyle w:val="Compact"/>
              <w:jc w:val="left"/>
            </w:pPr>
            <w:r>
              <w:t xml:space="preserve">One-sample inference for numerical data</w:t>
            </w:r>
          </w:p>
        </w:tc>
        <w:tc>
          <w:tcPr/>
          <w:p>
            <w:pPr>
              <w:pStyle w:val="Compact"/>
              <w:jc w:val="left"/>
            </w:pPr>
            <w:r>
              <w:t xml:space="preserve">4.3, 5.1</w:t>
            </w:r>
          </w:p>
        </w:tc>
        <w:tc>
          <w:tcPr/>
          <w:p>
            <w:pPr>
              <w:pStyle w:val="Compact"/>
            </w:pPr>
          </w:p>
        </w:tc>
      </w:tr>
      <w:tr>
        <w:tc>
          <w:tcPr/>
          <w:p>
            <w:pPr>
              <w:pStyle w:val="Compact"/>
              <w:jc w:val="left"/>
            </w:pPr>
            <w:r>
              <w:t xml:space="preserve">6 (5/6/24)</w:t>
            </w:r>
          </w:p>
        </w:tc>
        <w:tc>
          <w:tcPr/>
          <w:p>
            <w:pPr>
              <w:pStyle w:val="Compact"/>
              <w:jc w:val="left"/>
            </w:pPr>
            <w:r>
              <w:t xml:space="preserve">Two-sample inference for numerical data</w:t>
            </w:r>
          </w:p>
        </w:tc>
        <w:tc>
          <w:tcPr/>
          <w:p>
            <w:pPr>
              <w:pStyle w:val="Compact"/>
              <w:jc w:val="left"/>
            </w:pPr>
            <w:r>
              <w:t xml:space="preserve">5.2, 5.3, 5.4</w:t>
            </w:r>
          </w:p>
        </w:tc>
        <w:tc>
          <w:tcPr/>
          <w:p>
            <w:pPr>
              <w:pStyle w:val="Compact"/>
              <w:jc w:val="left"/>
            </w:pPr>
            <w:r>
              <w:t xml:space="preserve">Test 2 [L4, L5]</w:t>
            </w:r>
          </w:p>
        </w:tc>
      </w:tr>
      <w:tr>
        <w:tc>
          <w:tcPr/>
          <w:p>
            <w:pPr>
              <w:pStyle w:val="Compact"/>
              <w:jc w:val="left"/>
            </w:pPr>
            <w:r>
              <w:t xml:space="preserve">7 (5/13/24)</w:t>
            </w:r>
          </w:p>
        </w:tc>
        <w:tc>
          <w:tcPr/>
          <w:p>
            <w:pPr>
              <w:pStyle w:val="Compact"/>
              <w:jc w:val="left"/>
            </w:pPr>
            <w:r>
              <w:t xml:space="preserve">Nonparametric tests; analysis of variance</w:t>
            </w:r>
          </w:p>
        </w:tc>
        <w:tc>
          <w:tcPr/>
          <w:p>
            <w:pPr>
              <w:pStyle w:val="Compact"/>
              <w:jc w:val="left"/>
            </w:pPr>
            <w:r>
              <w:t xml:space="preserve">5.5</w:t>
            </w:r>
          </w:p>
        </w:tc>
        <w:tc>
          <w:tcPr/>
          <w:p>
            <w:pPr>
              <w:pStyle w:val="Compact"/>
            </w:pPr>
          </w:p>
        </w:tc>
      </w:tr>
      <w:tr>
        <w:tc>
          <w:tcPr/>
          <w:p>
            <w:pPr>
              <w:pStyle w:val="Compact"/>
              <w:jc w:val="left"/>
            </w:pPr>
            <w:r>
              <w:t xml:space="preserve">8 (5/20/24)</w:t>
            </w:r>
          </w:p>
        </w:tc>
        <w:tc>
          <w:tcPr/>
          <w:p>
            <w:pPr>
              <w:pStyle w:val="Compact"/>
              <w:jc w:val="left"/>
            </w:pPr>
            <w:r>
              <w:t xml:space="preserve">Post-hoc inference in ANOVA; intro to categorical data analysis</w:t>
            </w:r>
          </w:p>
        </w:tc>
        <w:tc>
          <w:tcPr/>
          <w:p>
            <w:pPr>
              <w:pStyle w:val="Compact"/>
              <w:jc w:val="left"/>
            </w:pPr>
            <w:r>
              <w:t xml:space="preserve">8.1</w:t>
            </w:r>
          </w:p>
        </w:tc>
        <w:tc>
          <w:tcPr/>
          <w:p>
            <w:pPr>
              <w:pStyle w:val="Compact"/>
              <w:jc w:val="left"/>
            </w:pPr>
            <w:r>
              <w:t xml:space="preserve">Test 3 [L6, L9]</w:t>
            </w:r>
          </w:p>
        </w:tc>
      </w:tr>
      <w:tr>
        <w:tc>
          <w:tcPr/>
          <w:p>
            <w:pPr>
              <w:pStyle w:val="Compact"/>
              <w:jc w:val="left"/>
            </w:pPr>
            <w:r>
              <w:t xml:space="preserve">9 (5/27/24)</w:t>
            </w:r>
          </w:p>
        </w:tc>
        <w:tc>
          <w:tcPr/>
          <w:p>
            <w:pPr>
              <w:pStyle w:val="Compact"/>
              <w:jc w:val="left"/>
            </w:pPr>
            <w:r>
              <w:t xml:space="preserve">Categorical data analysis and contingency tables</w:t>
            </w:r>
          </w:p>
        </w:tc>
        <w:tc>
          <w:tcPr/>
          <w:p>
            <w:pPr>
              <w:pStyle w:val="Compact"/>
              <w:jc w:val="left"/>
            </w:pPr>
            <w:r>
              <w:t xml:space="preserve">8.3, 8.5.1, 8.5.3</w:t>
            </w:r>
          </w:p>
        </w:tc>
        <w:tc>
          <w:tcPr/>
          <w:p>
            <w:pPr>
              <w:pStyle w:val="Compact"/>
            </w:pPr>
          </w:p>
        </w:tc>
      </w:tr>
      <w:tr>
        <w:tc>
          <w:tcPr/>
          <w:p>
            <w:pPr>
              <w:pStyle w:val="Compact"/>
              <w:jc w:val="left"/>
            </w:pPr>
            <w:r>
              <w:t xml:space="preserve">10 (6/3/24)</w:t>
            </w:r>
          </w:p>
        </w:tc>
        <w:tc>
          <w:tcPr/>
          <w:p>
            <w:pPr>
              <w:pStyle w:val="Compact"/>
              <w:jc w:val="left"/>
            </w:pPr>
            <w:r>
              <w:t xml:space="preserve">Simple linear regression</w:t>
            </w:r>
          </w:p>
        </w:tc>
        <w:tc>
          <w:tcPr/>
          <w:p>
            <w:pPr>
              <w:pStyle w:val="Compact"/>
              <w:jc w:val="left"/>
            </w:pPr>
            <w:r>
              <w:t xml:space="preserve">6.1, 6.2, 6.4, 6.5</w:t>
            </w:r>
          </w:p>
        </w:tc>
        <w:tc>
          <w:tcPr/>
          <w:p>
            <w:pPr>
              <w:pStyle w:val="Compact"/>
              <w:jc w:val="left"/>
            </w:pPr>
            <w:r>
              <w:t xml:space="preserve">Test 4 [L7, L8, L10]</w:t>
            </w:r>
          </w:p>
        </w:tc>
      </w:tr>
      <w:tr>
        <w:tc>
          <w:tcPr/>
          <w:p>
            <w:pPr>
              <w:pStyle w:val="Compact"/>
              <w:jc w:val="left"/>
            </w:pPr>
            <w:r>
              <w:t xml:space="preserve">Finals (6/10/24)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project assessment [L11]</w:t>
            </w:r>
          </w:p>
        </w:tc>
      </w:tr>
    </w:tbl>
    <w:bookmarkEnd w:id="32"/>
    <w:bookmarkStart w:id="45" w:name="course-policies"/>
    <w:p>
      <w:pPr>
        <w:pStyle w:val="Heading3"/>
      </w:pPr>
      <w:r>
        <w:t xml:space="preserve">Course policies</w:t>
      </w:r>
    </w:p>
    <w:bookmarkStart w:id="33"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class meetings account for four hours per week, students should anticipate devoting 8-12 hours outside of class. If you are spending considerably more time than this on a regular basis, please let me know.</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deadlines-and-extensions"/>
    <w:p>
      <w:pPr>
        <w:pStyle w:val="Heading4"/>
      </w:pPr>
      <w:r>
        <w:t xml:space="preserve">Deadlines and extensions</w:t>
      </w:r>
    </w:p>
    <w:p>
      <w:pPr>
        <w:pStyle w:val="FirstParagraph"/>
      </w:pPr>
      <w:r>
        <w:t xml:space="preserve">A one-hour grace period is applied to all deadlines. Work submitted more than one hour after a deadline is considered late. Policies regarding late work are as follows:</w:t>
      </w:r>
    </w:p>
    <w:p>
      <w:pPr>
        <w:numPr>
          <w:ilvl w:val="0"/>
          <w:numId w:val="1006"/>
        </w:numPr>
      </w:pPr>
      <w:r>
        <w:t xml:space="preserve">You may turn in as many as four homework assignments up to 48 hours late without penalty at any time during the quarter and without notice. Subsequently, late work may incur a penalty in final grade calculations.</w:t>
      </w:r>
    </w:p>
    <w:p>
      <w:pPr>
        <w:numPr>
          <w:ilvl w:val="0"/>
          <w:numId w:val="1006"/>
        </w:numPr>
      </w:pPr>
      <w:r>
        <w:t xml:space="preserve">Late submissions are not allowed for tests. You are expected to plan ahead in order to meet test deadlines; I recommend putting the dates in your calendar at the beginning of the quarter.</w:t>
      </w:r>
    </w:p>
    <w:p>
      <w:pPr>
        <w:numPr>
          <w:ilvl w:val="0"/>
          <w:numId w:val="1006"/>
        </w:numPr>
      </w:pPr>
      <w:r>
        <w:t xml:space="preserve">Exceptions may be granted for significant and unforeseen challenges (medical absences, family emergencies, and the like).</w:t>
      </w:r>
    </w:p>
    <w:p>
      <w:pPr>
        <w:pStyle w:val="FirstParagraph"/>
      </w:pPr>
      <w:r>
        <w:t xml:space="preserve">Extensions may be arranged as needed if warranted by the circumstances and should be requested by email. When requesting an extension, you should explain why it is needed; it is at my discretion to grant the extension or not based on the reason provided.</w:t>
      </w:r>
      <w:r>
        <w:t xml:space="preserve"> </w:t>
      </w:r>
      <w:r>
        <w:rPr>
          <w:bCs/>
          <w:b/>
        </w:rPr>
        <w:t xml:space="preserve">Extensions must be arranged at least 24 hours in advance of the original deadline</w:t>
      </w:r>
      <w:r>
        <w:t xml:space="preserve">; requests made after this time will not be considered as a general rule.</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w:t>
      </w:r>
    </w:p>
    <w:bookmarkEnd w:id="36"/>
    <w:bookmarkStart w:id="38" w:name="academic-integrity"/>
    <w:p>
      <w:pPr>
        <w:pStyle w:val="Heading4"/>
      </w:pPr>
      <w:r>
        <w:t xml:space="preserve">Academic integrity</w:t>
      </w:r>
    </w:p>
    <w:p>
      <w:pPr>
        <w:pStyle w:val="FirstParagraph"/>
      </w:pPr>
      <w:r>
        <w:t xml:space="preserve">You are expected to be aware of and adhere to University policy regarding academic integrity and conduct. Detailed information on these policies, and potential repercussions of policy violations, can be found via the</w:t>
      </w:r>
      <w:r>
        <w:t xml:space="preserve"> </w:t>
      </w:r>
      <w:hyperlink r:id="rId37">
        <w:r>
          <w:rPr>
            <w:rStyle w:val="Hyperlink"/>
          </w:rPr>
          <w:t xml:space="preserve">Office of Student Rights &amp; Responsibilities</w:t>
        </w:r>
      </w:hyperlink>
      <w:r>
        <w:t xml:space="preserve"> </w:t>
      </w:r>
      <w:r>
        <w:t xml:space="preserve">(OSRR). Particularly important course policies related to academic integrity are discussed below.</w:t>
      </w:r>
    </w:p>
    <w:p>
      <w:pPr>
        <w:pStyle w:val="BodyText"/>
      </w:pPr>
      <w:r>
        <w:rPr>
          <w:bCs/>
          <w:b/>
        </w:rPr>
        <w:t xml:space="preserve">Collaboration.</w:t>
      </w:r>
      <w:r>
        <w:t xml:space="preserve"> </w:t>
      </w:r>
      <w:r>
        <w:t xml:space="preserve">Collaboration among enrolled students is allowed and encouraged on homework assignments subject to the condition that every collaborator must make material contributions. Material contributions might include participation in group discussions, critique or presentation of a proposed solution, comparing numerical answers, and the like. However, group submissions are not allowed and you are expected to write up your own work. Copying the work of another student outright, knowingly allowing another student to copy your work, or submitting a copy of a shared set of answers is not acceptable and amounts to a violation of University policy on academic integrity. The best way to adhere to this policy and ensure your collaborations are productive is to:</w:t>
      </w:r>
    </w:p>
    <w:p>
      <w:pPr>
        <w:numPr>
          <w:ilvl w:val="0"/>
          <w:numId w:val="1007"/>
        </w:numPr>
        <w:pStyle w:val="Compact"/>
      </w:pPr>
      <w:r>
        <w:t xml:space="preserve">attempt problems individually before consulting others</w:t>
      </w:r>
    </w:p>
    <w:p>
      <w:pPr>
        <w:numPr>
          <w:ilvl w:val="0"/>
          <w:numId w:val="1007"/>
        </w:numPr>
        <w:pStyle w:val="Compact"/>
      </w:pPr>
      <w:r>
        <w:t xml:space="preserve">write up your own solutions in private</w:t>
      </w:r>
    </w:p>
    <w:p>
      <w:pPr>
        <w:pStyle w:val="FirstParagraph"/>
      </w:pPr>
      <w:r>
        <w:t xml:space="preserve">Collaboration is not permitted on tests and will result in loss of credit.</w:t>
      </w:r>
    </w:p>
    <w:p>
      <w:pPr>
        <w:pStyle w:val="BodyText"/>
      </w:pPr>
      <w:r>
        <w:rPr>
          <w:bCs/>
          <w:b/>
        </w:rPr>
        <w:t xml:space="preserve">Use of AI.</w:t>
      </w:r>
      <w:r>
        <w:t xml:space="preserve"> </w:t>
      </w:r>
      <w:r>
        <w:t xml:space="preserve">Learning to use AI effectively and responsibly for problem-solving in an academic context is a skill unto itself. Submitting problem prompts directly to ChatGPT will, most of the time, return superfluous, tangential, and erroneous answers that do not meet assessment criteria for satisfactory work. Furthermore, even when AI-generated material is technically accurate, outputs rarely conform to the examples set forth in class or the solution strategies that you have been taught.</w:t>
      </w:r>
    </w:p>
    <w:p>
      <w:pPr>
        <w:pStyle w:val="BodyText"/>
      </w:pPr>
      <w:r>
        <w:t xml:space="preserve">So in the best-case scenario, AI-generated material might be useful but only if you expend additional effort refine the prompts you use and subsequently to parse, understand, and integrate outputs with class content. In the worst-case scenario, AI-generated material will be wrong or irrelevant and simply confuse you. Considering you are learning material that is new to you, you will most likely not be able to distinguish correct from incorrect outputs – if you could, you would have had no need to query in the first place – and it will therefore be difficult if not impossible to use AI effectively. Thus,</w:t>
      </w:r>
      <w:r>
        <w:t xml:space="preserve"> </w:t>
      </w:r>
      <w:r>
        <w:rPr>
          <w:bCs/>
          <w:b/>
        </w:rPr>
        <w:t xml:space="preserve">using AI is more likely to hinder than to help your learning</w:t>
      </w:r>
      <w:r>
        <w:t xml:space="preserve">, and for this reason I do not recommend it.</w:t>
      </w:r>
    </w:p>
    <w:p>
      <w:pPr>
        <w:pStyle w:val="BodyText"/>
      </w:pPr>
      <w:r>
        <w:t xml:space="preserve">Should you choose to use AI you must use it as an aid only and not as a substitute for doing your own work. You will be responsible for using it thoughtfully and judiciously. That means critically assessing any outputs and continuing to prepare work to be submitted in your own words and using your own analyses. Submitting AI-generated outputs directly is never acceptable — doing so amounts to falsely representing material that you did not create as your own work and is a violation of University academic integrity policy. I will respond to such violations as follows.</w:t>
      </w:r>
    </w:p>
    <w:p>
      <w:pPr>
        <w:numPr>
          <w:ilvl w:val="0"/>
          <w:numId w:val="1008"/>
        </w:numPr>
        <w:pStyle w:val="Compact"/>
      </w:pPr>
      <w:r>
        <w:t xml:space="preserve">some AI-generated content detected: loss of credit and warning</w:t>
      </w:r>
    </w:p>
    <w:p>
      <w:pPr>
        <w:numPr>
          <w:ilvl w:val="0"/>
          <w:numId w:val="1008"/>
        </w:numPr>
        <w:pStyle w:val="Compact"/>
      </w:pPr>
      <w:r>
        <w:t xml:space="preserve">flagrant AI plagiarism, first offense: loss of credit and report to OSRR</w:t>
      </w:r>
    </w:p>
    <w:p>
      <w:pPr>
        <w:numPr>
          <w:ilvl w:val="0"/>
          <w:numId w:val="1008"/>
        </w:numPr>
        <w:pStyle w:val="Compact"/>
      </w:pPr>
      <w:r>
        <w:t xml:space="preserve">flagrant AI plagiarism, second offense: automatic course failure and report to OSRR</w:t>
      </w:r>
    </w:p>
    <w:p>
      <w:pPr>
        <w:pStyle w:val="FirstParagraph"/>
      </w:pPr>
      <w:r>
        <w:t xml:space="preserve">If you are unsure about where the line is between acceptable and unacceptable use in any particular situation, please discuss the situation with me – I’d much rather help you learn to navigate the issue without the use of penalties wherever possible.</w:t>
      </w:r>
    </w:p>
    <w:bookmarkEnd w:id="38"/>
    <w:bookmarkStart w:id="40" w:name="assessments-and-final-grades"/>
    <w:p>
      <w:pPr>
        <w:pStyle w:val="Heading4"/>
      </w:pPr>
      <w:r>
        <w:t xml:space="preserve">Assessments and final grades</w:t>
      </w:r>
    </w:p>
    <w:p>
      <w:pPr>
        <w:pStyle w:val="FirstParagraph"/>
      </w:pPr>
      <w:r>
        <w:t xml:space="preserve">I make every effort to provide consistent, fair, and accurate evaluation of student work. Please notify me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you feel your grade is unfairly assigned at the end of the course, you have the right to appeal it according to the procedure outlined</w:t>
      </w:r>
      <w:r>
        <w:t xml:space="preserve"> </w:t>
      </w:r>
      <w:hyperlink r:id="rId39">
        <w:r>
          <w:rPr>
            <w:rStyle w:val="Hyperlink"/>
          </w:rPr>
          <w:t xml:space="preserve">here</w:t>
        </w:r>
      </w:hyperlink>
      <w:r>
        <w:t xml:space="preserve">.</w:t>
      </w:r>
    </w:p>
    <w:bookmarkEnd w:id="40"/>
    <w:bookmarkStart w:id="41" w:name="communication-and-email"/>
    <w:p>
      <w:pPr>
        <w:pStyle w:val="Heading4"/>
      </w:pPr>
      <w:r>
        <w:t xml:space="preserve">Communication and email</w:t>
      </w:r>
    </w:p>
    <w:p>
      <w:pPr>
        <w:pStyle w:val="FirstParagraph"/>
      </w:pPr>
      <w:r>
        <w:t xml:space="preserve">Students are encouraged to use face-to-face means of communication (class meetings and office hours) when possible. Every effort is made to respond to email within 48 weekday hours; please be aware that a message sent Thursday or Friday may not receive a reply until Monday or Tuesday. Time-sensitive messages should be identified as such in the subject line. For non-time-sensitive messages, please wait one week before sending a reminder.</w:t>
      </w:r>
    </w:p>
    <w:bookmarkEnd w:id="41"/>
    <w:bookmarkStart w:id="43"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2">
        <w:r>
          <w:rPr>
            <w:rStyle w:val="Hyperlink"/>
          </w:rPr>
          <w:t xml:space="preserve">Disability Resource Center</w:t>
        </w:r>
      </w:hyperlink>
      <w:r>
        <w:t xml:space="preserve"> </w:t>
      </w:r>
      <w:r>
        <w:t xml:space="preserve">(DRC).</w:t>
      </w:r>
    </w:p>
    <w:bookmarkEnd w:id="43"/>
    <w:bookmarkStart w:id="44" w:name="X00aaca740cb77a982ba5bdeed38f252ae993db1"/>
    <w:p>
      <w:pPr>
        <w:pStyle w:val="Heading4"/>
      </w:pPr>
      <w:r>
        <w:t xml:space="preserve">Copyright and distribution of course materials</w:t>
      </w:r>
    </w:p>
    <w:p>
      <w:pPr>
        <w:pStyle w:val="FirstParagraph"/>
      </w:pPr>
      <w:r>
        <w:t xml:space="preserve">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2" Target="https://drc.calpoly.edu" TargetMode="External" /><Relationship Type="http://schemas.openxmlformats.org/officeDocument/2006/relationships/hyperlink" Id="rId26" Target="https://intro2r.com" TargetMode="External" /><Relationship Type="http://schemas.openxmlformats.org/officeDocument/2006/relationships/hyperlink" Id="rId37" Target="https://osrr.calpoly.edu" TargetMode="External" /><Relationship Type="http://schemas.openxmlformats.org/officeDocument/2006/relationships/hyperlink" Id="rId23" Target="https://posit.cloud/spaces/497811/join?access_code=UXcfuEu2vkl3e2KOA4d4IU3UejqhsSqMMcqbyLT7" TargetMode="External" /><Relationship Type="http://schemas.openxmlformats.org/officeDocument/2006/relationships/hyperlink" Id="rId29" Target="https://statistics.calpoly.edu/content/tutoring"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9"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2" Target="https://drc.calpoly.edu" TargetMode="External" /><Relationship Type="http://schemas.openxmlformats.org/officeDocument/2006/relationships/hyperlink" Id="rId26" Target="https://intro2r.com" TargetMode="External" /><Relationship Type="http://schemas.openxmlformats.org/officeDocument/2006/relationships/hyperlink" Id="rId37" Target="https://osrr.calpoly.edu" TargetMode="External" /><Relationship Type="http://schemas.openxmlformats.org/officeDocument/2006/relationships/hyperlink" Id="rId23" Target="https://posit.cloud/spaces/497811/join?access_code=UXcfuEu2vkl3e2KOA4d4IU3UejqhsSqMMcqbyLT7" TargetMode="External" /><Relationship Type="http://schemas.openxmlformats.org/officeDocument/2006/relationships/hyperlink" Id="rId29" Target="https://statistics.calpoly.edu/content/tutoring"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2024-03-31T23:37:49Z</dcterms:created>
  <dcterms:modified xsi:type="dcterms:W3CDTF">2024-03-31T23:37:49Z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April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