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980"/>
        <w:gridCol w:w="319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650"/>
        <w:gridCol w:w="2970"/>
        <w:gridCol w:w="1650"/>
        <w:gridCol w:w="165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Descriptive statistics and graphical summaries</w:t>
            </w:r>
          </w:p>
        </w:tc>
        <w:tc>
          <w:tcPr/>
          <w:p>
            <w:pPr>
              <w:pStyle w:val="Compact"/>
              <w:jc w:val="left"/>
            </w:pPr>
            <w:r>
              <w:t xml:space="preserve">1.4 – 1.6</w:t>
            </w:r>
          </w:p>
        </w:tc>
        <w:tc>
          <w:tcPr/>
          <w:p>
            <w:pPr>
              <w:pStyle w:val="Compact"/>
              <w:jc w:val="left"/>
            </w:pPr>
            <w:r>
              <w:rPr>
                <w:strike/>
              </w:rPr>
              <w:t xml:space="preserve">HW2</w:t>
            </w:r>
          </w:p>
        </w:tc>
      </w:tr>
      <w:tr>
        <w:tc>
          <w:tcPr/>
          <w:p>
            <w:pPr>
              <w:pStyle w:val="Compact"/>
              <w:jc w:val="left"/>
            </w:pPr>
            <w:r>
              <w:t xml:space="preserve">4 (1/29/24)</w:t>
            </w:r>
          </w:p>
        </w:tc>
        <w:tc>
          <w:tcPr/>
          <w:p>
            <w:pPr>
              <w:pStyle w:val="Compact"/>
              <w:jc w:val="left"/>
            </w:pPr>
            <w:r>
              <w:t xml:space="preserve">Foundations for inference</w:t>
            </w:r>
          </w:p>
        </w:tc>
        <w:tc>
          <w:tcPr/>
          <w:p>
            <w:pPr>
              <w:pStyle w:val="Compact"/>
              <w:jc w:val="left"/>
            </w:pPr>
            <w:r>
              <w:t xml:space="preserve">4.1 – 4.2</w:t>
            </w:r>
          </w:p>
        </w:tc>
        <w:tc>
          <w:tcPr/>
          <w:p>
            <w:pPr>
              <w:pStyle w:val="Compact"/>
              <w:jc w:val="left"/>
            </w:pPr>
            <w:r>
              <w:t xml:space="preserve">HW2</w:t>
            </w:r>
          </w:p>
        </w:tc>
      </w:tr>
      <w:tr>
        <w:tc>
          <w:tcPr/>
          <w:p>
            <w:pPr>
              <w:pStyle w:val="Compact"/>
              <w:jc w:val="left"/>
            </w:pPr>
            <w:r>
              <w:t xml:space="preserve">5 (2/5/24)</w:t>
            </w:r>
          </w:p>
        </w:tc>
        <w:tc>
          <w:tcPr/>
          <w:p>
            <w:pPr>
              <w:pStyle w:val="Compact"/>
              <w:jc w:val="left"/>
            </w:pPr>
            <w:r>
              <w:t xml:space="preserve">One- and two-sample inference for numerical data</w:t>
            </w:r>
          </w:p>
        </w:tc>
        <w:tc>
          <w:tcPr/>
          <w:p>
            <w:pPr>
              <w:pStyle w:val="Compact"/>
              <w:jc w:val="left"/>
            </w:pPr>
            <w:r>
              <w:t xml:space="preserve">4.3; 5.1 — 5.3</w:t>
            </w:r>
          </w:p>
        </w:tc>
        <w:tc>
          <w:tcPr/>
          <w:p>
            <w:pPr>
              <w:pStyle w:val="Compact"/>
              <w:jc w:val="left"/>
            </w:pPr>
            <w:r>
              <w:t xml:space="preserve">Test 1</w:t>
            </w:r>
          </w:p>
        </w:tc>
      </w:tr>
      <w:tr>
        <w:tc>
          <w:tcPr/>
          <w:p>
            <w:pPr>
              <w:pStyle w:val="Compact"/>
              <w:jc w:val="left"/>
            </w:pPr>
            <w:r>
              <w:t xml:space="preserve">6 (2/12/24)</w:t>
            </w:r>
          </w:p>
        </w:tc>
        <w:tc>
          <w:tcPr/>
          <w:p>
            <w:pPr>
              <w:pStyle w:val="Compact"/>
              <w:jc w:val="left"/>
            </w:pPr>
            <w:r>
              <w:t xml:space="preserve">Nonparametric inference</w:t>
            </w:r>
          </w:p>
        </w:tc>
        <w:tc>
          <w:tcPr/>
          <w:p>
            <w:pPr>
              <w:pStyle w:val="Compact"/>
              <w:jc w:val="left"/>
            </w:pPr>
            <w:r>
              <w:t xml:space="preserve">TBD</w:t>
            </w:r>
          </w:p>
        </w:tc>
        <w:tc>
          <w:tcPr/>
          <w:p>
            <w:pPr>
              <w:pStyle w:val="Compact"/>
              <w:jc w:val="left"/>
            </w:pPr>
            <w:r>
              <w:t xml:space="preserve">HW3</w:t>
            </w:r>
          </w:p>
        </w:tc>
      </w:tr>
      <w:tr>
        <w:tc>
          <w:tcPr/>
          <w:p>
            <w:pPr>
              <w:pStyle w:val="Compact"/>
              <w:jc w:val="left"/>
            </w:pPr>
            <w:r>
              <w:t xml:space="preserve">7 (2/19/24)</w:t>
            </w:r>
          </w:p>
        </w:tc>
        <w:tc>
          <w:tcPr/>
          <w:p>
            <w:pPr>
              <w:pStyle w:val="Compact"/>
              <w:jc w:val="left"/>
            </w:pPr>
            <w:r>
              <w:t xml:space="preserve">Comparing many means with analysis of variance</w:t>
            </w:r>
          </w:p>
        </w:tc>
        <w:tc>
          <w:tcPr/>
          <w:p>
            <w:pPr>
              <w:pStyle w:val="Compact"/>
              <w:jc w:val="left"/>
            </w:pPr>
            <w:r>
              <w:t xml:space="preserve">5.5</w:t>
            </w:r>
          </w:p>
        </w:tc>
        <w:tc>
          <w:tcPr/>
          <w:p>
            <w:pPr>
              <w:pStyle w:val="Compact"/>
              <w:jc w:val="left"/>
            </w:pPr>
            <w:r>
              <w:t xml:space="preserve">HW4</w:t>
            </w:r>
          </w:p>
        </w:tc>
      </w:tr>
      <w:tr>
        <w:tc>
          <w:tcPr/>
          <w:p>
            <w:pPr>
              <w:pStyle w:val="Compact"/>
              <w:jc w:val="left"/>
            </w:pPr>
            <w:r>
              <w:t xml:space="preserve">8 (2/26/24)</w:t>
            </w:r>
          </w:p>
        </w:tc>
        <w:tc>
          <w:tcPr/>
          <w:p>
            <w:pPr>
              <w:pStyle w:val="Compact"/>
              <w:jc w:val="left"/>
            </w:pPr>
            <w:r>
              <w:t xml:space="preserve">Inference for categorical data</w:t>
            </w:r>
          </w:p>
        </w:tc>
        <w:tc>
          <w:tcPr/>
          <w:p>
            <w:pPr>
              <w:pStyle w:val="Compact"/>
              <w:jc w:val="left"/>
            </w:pPr>
            <w:r>
              <w:t xml:space="preserve">8.1 — 8.4</w:t>
            </w:r>
          </w:p>
        </w:tc>
        <w:tc>
          <w:tcPr/>
          <w:p>
            <w:pPr>
              <w:pStyle w:val="Compact"/>
              <w:jc w:val="left"/>
            </w:pPr>
            <w:r>
              <w:t xml:space="preserve">Test 2</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HW5</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2024-01-25T17:59:19Z</dcterms:created>
  <dcterms:modified xsi:type="dcterms:W3CDTF">2024-01-25T17:59:19Z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