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Jinlong Ru, on behalf of all authors</w:t>
      </w:r>
      <w:r>
        <w:br/>
      </w:r>
      <w:r>
        <w:t xml:space="preserve">Technical University of Munich &amp; Helmholtz Centre Munich</w:t>
      </w:r>
      <w:r>
        <w:br/>
      </w:r>
      <w:hyperlink r:id="rId20">
        <w:r>
          <w:rPr>
            <w:rStyle w:val="Hyperlink"/>
          </w:rPr>
          <w:t xml:space="preserve">jinlong.ru@tum.de</w:t>
        </w:r>
      </w:hyperlink>
    </w:p>
    <w:p>
      <w:pPr>
        <w:pStyle w:val="BodyText"/>
      </w:pPr>
      <w:r>
        <w:t xml:space="preserve">The Editor-in-Chief</w:t>
      </w:r>
      <w:r>
        <w:br/>
      </w:r>
      <w:r>
        <w:rPr>
          <w:iCs/>
          <w:i/>
        </w:rPr>
        <w:t xml:space="preserve">Microbial Biotechnology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novel lytic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Aeromonas</w:t>
      </w:r>
      <w:r>
        <w:rPr>
          <w:bCs/>
          <w:b/>
        </w:rPr>
        <w:t xml:space="preserve"> </w:t>
      </w:r>
      <w:r>
        <w:rPr>
          <w:bCs/>
          <w:b/>
        </w:rPr>
        <w:t xml:space="preserve">bacteriophage rescues largemouth bass from lethal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Aeromonas hydrophila</w:t>
      </w:r>
      <w:r>
        <w:rPr>
          <w:bCs/>
          <w:b/>
        </w:rPr>
        <w:t xml:space="preserve"> </w:t>
      </w:r>
      <w:r>
        <w:rPr>
          <w:bCs/>
          <w:b/>
        </w:rPr>
        <w:t xml:space="preserve">infection,</w:t>
      </w:r>
      <w:r>
        <w:rPr>
          <w:bCs/>
          <w:b/>
        </w:rPr>
        <w:t xml:space="preserve">”</w:t>
      </w:r>
      <w:r>
        <w:t xml:space="preserve"> </w:t>
      </w:r>
      <w:r>
        <w:t xml:space="preserve">for consideration as a Research</w:t>
      </w:r>
      <w:r>
        <w:t xml:space="preserve"> </w:t>
      </w:r>
      <w:r>
        <w:t xml:space="preserve">Article in</w:t>
      </w:r>
      <w:r>
        <w:t xml:space="preserve"> </w:t>
      </w:r>
      <w:r>
        <w:rPr>
          <w:iCs/>
          <w:i/>
        </w:rPr>
        <w:t xml:space="preserve">Microbial Biotechnology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Aeromonas hydrophila</w:t>
      </w:r>
      <w:r>
        <w:t xml:space="preserve"> </w:t>
      </w:r>
      <w:r>
        <w:t xml:space="preserve">is a leading aquaculture pathogen whose escalating</w:t>
      </w:r>
      <w:r>
        <w:t xml:space="preserve"> </w:t>
      </w:r>
      <w:r>
        <w:t xml:space="preserve">multidrug resistance demands sustainable, non-antibiotic control strategies.</w:t>
      </w:r>
      <w:r>
        <w:t xml:space="preserve"> </w:t>
      </w:r>
      <w:r>
        <w:t xml:space="preserve">We report the isolation and multi-level characterization of bacteriophage</w:t>
      </w:r>
      <w:r>
        <w:t xml:space="preserve"> </w:t>
      </w:r>
      <w:r>
        <w:t xml:space="preserve">vB_AhyM_Hp3 (Hp3) against</w:t>
      </w:r>
      <w:r>
        <w:t xml:space="preserve"> </w:t>
      </w:r>
      <w:r>
        <w:rPr>
          <w:iCs/>
          <w:i/>
        </w:rPr>
        <w:t xml:space="preserve">A. hydrophila</w:t>
      </w:r>
      <w:r>
        <w:t xml:space="preserve">, with three findings we</w:t>
      </w:r>
      <w:r>
        <w:t xml:space="preserve"> </w:t>
      </w:r>
      <w:r>
        <w:t xml:space="preserve">believe are of direct interest to the journal’s biocontrol readership: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highly distinct new viral genus.</w:t>
      </w:r>
      <w:r>
        <w:t xml:space="preserve"> </w:t>
      </w:r>
      <w:r>
        <w:t xml:space="preserve">Integrating nucleotide-level</w:t>
      </w:r>
      <w:r>
        <w:t xml:space="preserve"> </w:t>
      </w:r>
      <w:r>
        <w:t xml:space="preserve">(VIRIDIC, 83.65% intergenomic similarity), whole-proteome (ViPTree),</w:t>
      </w:r>
      <w:r>
        <w:t xml:space="preserve"> </w:t>
      </w:r>
      <w:r>
        <w:t xml:space="preserve">amino-acid genome-BLAST distance phylogeny (VICTOR), and protein-sharing</w:t>
      </w:r>
      <w:r>
        <w:t xml:space="preserve"> </w:t>
      </w:r>
      <w:r>
        <w:t xml:space="preserve">network (vConTACT3) analyses, Hp3 and its closest relative HJ05 form a new,</w:t>
      </w:r>
      <w:r>
        <w:t xml:space="preserve"> </w:t>
      </w:r>
      <w:r>
        <w:t xml:space="preserve">highly distinct genus within the class</w:t>
      </w:r>
      <w:r>
        <w:t xml:space="preserve"> </w:t>
      </w:r>
      <w:r>
        <w:rPr>
          <w:iCs/>
          <w:i/>
        </w:rPr>
        <w:t xml:space="preserve">Caudoviricetes</w:t>
      </w:r>
      <w:r>
        <w:t xml:space="preserve">—with no more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0.073</m:t>
        </m:r>
      </m:oMath>
      <w:r>
        <w:t xml:space="preserve"> </w:t>
      </w:r>
      <w:r>
        <w:t xml:space="preserve">whole-proteome similarity to any classified virus and clear</w:t>
      </w:r>
      <w:r>
        <w:t xml:space="preserve"> </w:t>
      </w:r>
      <w:r>
        <w:t xml:space="preserve">separation from all established families, suggesting a putative new</w:t>
      </w:r>
      <w:r>
        <w:t xml:space="preserve"> </w:t>
      </w:r>
      <w:r>
        <w:t xml:space="preserve">family-level lineage pending broader sampling and formal ICTV evaluation.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Demonstrated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 vivo</w:t>
      </w:r>
      <w:r>
        <w:rPr>
          <w:bCs/>
          <w:b/>
        </w:rPr>
        <w:t xml:space="preserve"> </w:t>
      </w:r>
      <w:r>
        <w:rPr>
          <w:bCs/>
          <w:b/>
        </w:rPr>
        <w:t xml:space="preserve">efficacy and host safety.</w:t>
      </w:r>
      <w:r>
        <w:t xml:space="preserve"> </w:t>
      </w:r>
      <w:r>
        <w:t xml:space="preserve">A single</w:t>
      </w:r>
      <w:r>
        <w:t xml:space="preserve"> </w:t>
      </w:r>
      <w:r>
        <w:t xml:space="preserve">administration (MOI 1.0) increased the seven-day survival of largemouth bass</w:t>
      </w:r>
      <w:r>
        <w:t xml:space="preserve"> </w:t>
      </w:r>
      <w:r>
        <w:t xml:space="preserve">from 15% to 85% under lethal challenge, while fish receiving phage alone</w:t>
      </w:r>
      <w:r>
        <w:t xml:space="preserve"> </w:t>
      </w:r>
      <w:r>
        <w:t xml:space="preserve">showed 100% survival with no histopathology.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genomically safe, well-defined biocontrol candidate.</w:t>
      </w:r>
      <w:r>
        <w:t xml:space="preserve"> </w:t>
      </w:r>
      <w:r>
        <w:t xml:space="preserve">Hp3</w:t>
      </w:r>
      <w:r>
        <w:t xml:space="preserve"> </w:t>
      </w:r>
      <w:r>
        <w:t xml:space="preserve">carries no antibiotic-resistance genes and no known virulence</w:t>
      </w:r>
      <w:r>
        <w:t xml:space="preserve"> </w:t>
      </w:r>
      <w:r>
        <w:t xml:space="preserve">determinants, and exhibits rapid lytic kinetics with broad temperature and pH</w:t>
      </w:r>
      <w:r>
        <w:t xml:space="preserve"> </w:t>
      </w:r>
      <w:r>
        <w:t xml:space="preserve">stability.</w:t>
      </w:r>
    </w:p>
    <w:p>
      <w:pPr>
        <w:pStyle w:val="FirstParagraph"/>
      </w:pPr>
      <w:r>
        <w:t xml:space="preserve">Together these results position Hp3 both as a practical biocontrol agent for</w:t>
      </w:r>
      <w:r>
        <w:t xml:space="preserve"> </w:t>
      </w:r>
      <w:r>
        <w:t xml:space="preserve">aquaculture and as a foundation for next-generation phage-based therapeutics</w:t>
      </w:r>
      <w:r>
        <w:t xml:space="preserve"> </w:t>
      </w:r>
      <w:r>
        <w:t xml:space="preserve">and cocktail formulations — squarely within the scope of</w:t>
      </w:r>
      <w:r>
        <w:t xml:space="preserve"> </w:t>
      </w:r>
      <w:r>
        <w:rPr>
          <w:iCs/>
          <w:i/>
        </w:rPr>
        <w:t xml:space="preserve">Microbial Biotechnology</w:t>
      </w:r>
      <w:r>
        <w:t xml:space="preserve">.</w:t>
      </w:r>
    </w:p>
    <w:p>
      <w:pPr>
        <w:pStyle w:val="BodyText"/>
      </w:pPr>
      <w:r>
        <w:t xml:space="preserve">The manuscript is original, has not been published previously, and is not under</w:t>
      </w:r>
      <w:r>
        <w:t xml:space="preserve"> </w:t>
      </w:r>
      <w:r>
        <w:t xml:space="preserve">consideration elsewhere. As corresponding author, I consent to its publication</w:t>
      </w:r>
      <w:r>
        <w:t xml:space="preserve"> </w:t>
      </w:r>
      <w:r>
        <w:t xml:space="preserve">and confirm that the content and authorship of this manuscript have been</w:t>
      </w:r>
      <w:r>
        <w:t xml:space="preserve"> </w:t>
      </w:r>
      <w:r>
        <w:t xml:space="preserve">approved by all authors; the authors declare no competing interests. All raw sequencing data and assembled genomes are</w:t>
      </w:r>
      <w:r>
        <w:t xml:space="preserve"> </w:t>
      </w:r>
      <w:r>
        <w:t xml:space="preserve">openly available in NCBI BioProject</w:t>
      </w:r>
      <w:r>
        <w:t xml:space="preserve"> </w:t>
      </w:r>
      <w:r>
        <w:rPr>
          <w:bCs/>
          <w:b/>
        </w:rPr>
        <w:t xml:space="preserve">PRJNA1348731</w:t>
      </w:r>
      <w:r>
        <w:t xml:space="preserve">; figure source data</w:t>
      </w:r>
      <w:r>
        <w:t xml:space="preserve"> </w:t>
      </w:r>
      <w:r>
        <w:t xml:space="preserve">are deposited in Figshare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10.6084/m9.figshare.30500525</w:t>
        </w:r>
      </w:hyperlink>
      <w:r>
        <w:t xml:space="preserve">)</w:t>
      </w:r>
      <w:r>
        <w:t xml:space="preserve"> </w:t>
      </w:r>
      <w:r>
        <w:t xml:space="preserve">and the analysis code is archived in Zenodo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10.5281/zenodo.17454899</w:t>
        </w:r>
      </w:hyperlink>
      <w:r>
        <w:t xml:space="preserve">).</w:t>
      </w:r>
      <w:r>
        <w:t xml:space="preserve"> </w:t>
      </w:r>
      <w:r>
        <w:t xml:space="preserve">All animal experiments followed the ARRIVE guidelines and were approved by the</w:t>
      </w:r>
      <w:r>
        <w:t xml:space="preserve"> </w:t>
      </w:r>
      <w:r>
        <w:t xml:space="preserve">Institutional Animal Care and Use Committee (approval no. NWAFU-314020038).</w:t>
      </w:r>
    </w:p>
    <w:p>
      <w:pPr>
        <w:pStyle w:val="BodyText"/>
      </w:pPr>
      <w:r>
        <w:rPr>
          <w:bCs/>
          <w:b/>
        </w:rPr>
        <w:t xml:space="preserve">Suggested reviewers</w:t>
      </w:r>
      <w:r>
        <w:t xml:space="preserve"> </w:t>
      </w:r>
      <w:r>
        <w:t xml:space="preserve">(none has a conflict of interest; none is a</w:t>
      </w:r>
      <w:r>
        <w:t xml:space="preserve"> </w:t>
      </w:r>
      <w:r>
        <w:t xml:space="preserve">recent collaborator or co-author of the authors):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Evelien M. Adriaenssens</w:t>
      </w:r>
      <w:r>
        <w:t xml:space="preserve">, Quadram Institute Bioscience, Norwich, UK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evelien.adriaenssens@quadram.ac.uk</w:t>
        </w:r>
      </w:hyperlink>
      <w:r>
        <w:t xml:space="preserve">)</w:t>
      </w:r>
      <w:r>
        <w:t xml:space="preserve"> </w:t>
      </w:r>
      <w:r>
        <w:t xml:space="preserve">— bacteriophage genomics and prokaryotic virus taxonomy; Chair of the ICTV</w:t>
      </w:r>
      <w:r>
        <w:t xml:space="preserve"> </w:t>
      </w:r>
      <w:r>
        <w:t xml:space="preserve">Bacterial Viruses Subcommittee (</w:t>
      </w:r>
      <w:r>
        <w:rPr>
          <w:iCs/>
          <w:i/>
        </w:rPr>
        <w:t xml:space="preserve">Caudoviricetes</w:t>
      </w:r>
      <w:r>
        <w:t xml:space="preserve"> </w:t>
      </w:r>
      <w:r>
        <w:t xml:space="preserve">classification framework).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Andrew D. Millard</w:t>
      </w:r>
      <w:r>
        <w:t xml:space="preserve">, University of Leicester, UK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adm39@leicester.ac.uk</w:t>
        </w:r>
      </w:hyperlink>
      <w:r>
        <w:t xml:space="preserve">) — bacteriophage</w:t>
      </w:r>
      <w:r>
        <w:t xml:space="preserve"> </w:t>
      </w:r>
      <w:r>
        <w:t xml:space="preserve">comparative genomics, reference-genome curation, and therapeutic phages.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Mao Lin</w:t>
      </w:r>
      <w:r>
        <w:t xml:space="preserve">, Fisheries College, Jimei University, Xiamen, China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linmao@jmu.edu.cn</w:t>
        </w:r>
      </w:hyperlink>
      <w:r>
        <w:t xml:space="preserve">) —</w:t>
      </w:r>
      <w:r>
        <w:t xml:space="preserve"> </w:t>
      </w:r>
      <w:r>
        <w:rPr>
          <w:iCs/>
          <w:i/>
        </w:rPr>
        <w:t xml:space="preserve">Aeromonas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bacteriophage genomics and phage therapy (host-range and genome</w:t>
      </w:r>
      <w:r>
        <w:t xml:space="preserve"> </w:t>
      </w:r>
      <w:r>
        <w:t xml:space="preserve">characterization).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Jianguo Su</w:t>
      </w:r>
      <w:r>
        <w:t xml:space="preserve">, College of Fisheries, Huazhong Agricultural University,</w:t>
      </w:r>
      <w:r>
        <w:t xml:space="preserve"> </w:t>
      </w:r>
      <w:r>
        <w:t xml:space="preserve">Wuhan, China (</w:t>
      </w:r>
      <w:hyperlink r:id="rId26">
        <w:r>
          <w:rPr>
            <w:rStyle w:val="Hyperlink"/>
          </w:rPr>
          <w:t xml:space="preserve">sujianguo@mail.hzau.edu.cn</w:t>
        </w:r>
      </w:hyperlink>
      <w:r>
        <w:t xml:space="preserve">)</w:t>
      </w:r>
      <w:r>
        <w:t xml:space="preserve"> </w:t>
      </w:r>
      <w:r>
        <w:t xml:space="preserve">— fish antibacterial immunity and</w:t>
      </w:r>
      <w:r>
        <w:t xml:space="preserve"> </w:t>
      </w:r>
      <w:r>
        <w:rPr>
          <w:iCs/>
          <w:i/>
        </w:rPr>
        <w:t xml:space="preserve">A. hydrophila</w:t>
      </w:r>
      <w:r>
        <w:t xml:space="preserve"> </w:t>
      </w:r>
      <w:r>
        <w:rPr>
          <w:iCs/>
          <w:i/>
        </w:rPr>
        <w:t xml:space="preserve">in vivo</w:t>
      </w:r>
      <w:r>
        <w:t xml:space="preserve"> </w:t>
      </w:r>
      <w:r>
        <w:t xml:space="preserve">challenge</w:t>
      </w:r>
      <w:r>
        <w:t xml:space="preserve"> </w:t>
      </w:r>
      <w:r>
        <w:t xml:space="preserve">models.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Lingbing Zeng</w:t>
      </w:r>
      <w:r>
        <w:t xml:space="preserve">, Yangtze River Fisheries Research Institute, Chinese</w:t>
      </w:r>
      <w:r>
        <w:t xml:space="preserve"> </w:t>
      </w:r>
      <w:r>
        <w:t xml:space="preserve">Academy of Fishery Sciences, Wuhan, China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zenglingbing@gmail.com</w:t>
        </w:r>
      </w:hyperlink>
      <w:r>
        <w:t xml:space="preserve">) — fish pathology</w:t>
      </w:r>
      <w:r>
        <w:t xml:space="preserve"> </w:t>
      </w:r>
      <w:r>
        <w:t xml:space="preserve">and largemouth bass (</w:t>
      </w:r>
      <w:r>
        <w:rPr>
          <w:iCs/>
          <w:i/>
        </w:rPr>
        <w:t xml:space="preserve">Micropterus salmoides</w:t>
      </w:r>
      <w:r>
        <w:t xml:space="preserve">) disease models.</w:t>
      </w:r>
    </w:p>
    <w:p>
      <w:pPr>
        <w:pStyle w:val="FirstParagraph"/>
      </w:pPr>
      <w:r>
        <w:t xml:space="preserve">We thank you for considering our work and look forward to your</w:t>
      </w:r>
      <w:r>
        <w:t xml:space="preserve"> </w:t>
      </w:r>
      <w:r>
        <w:t xml:space="preserve">response.</w:t>
      </w:r>
    </w:p>
    <w:p>
      <w:pPr>
        <w:pStyle w:val="BodyText"/>
      </w:pPr>
      <w:r>
        <w:t xml:space="preserve">Sincerely,</w:t>
      </w:r>
      <w:r>
        <w:br/>
      </w:r>
      <w:r>
        <w:t xml:space="preserve">Jinlong Ru, Li Deng, and Gaoxue Wang</w:t>
      </w:r>
      <w:r>
        <w:br/>
      </w:r>
      <w:r>
        <w:rPr>
          <w:iCs/>
          <w:i/>
        </w:rPr>
        <w:t xml:space="preserve">(corresponding authors)</w:t>
      </w:r>
      <w:r>
        <w:br/>
      </w:r>
      <w:r>
        <w:t xml:space="preserve">on behalf of all authors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i.org/10.5281/zenodo.17454899" TargetMode="External" /><Relationship Type="http://schemas.openxmlformats.org/officeDocument/2006/relationships/hyperlink" Id="rId21" Target="https://doi.org/10.6084/m9.figshare.30500525" TargetMode="External" /><Relationship Type="http://schemas.openxmlformats.org/officeDocument/2006/relationships/hyperlink" Id="rId24" Target="mailto:adm39@leicester.ac.uk" TargetMode="External" /><Relationship Type="http://schemas.openxmlformats.org/officeDocument/2006/relationships/hyperlink" Id="rId23" Target="mailto:evelien.adriaenssens@quadram.ac.uk" TargetMode="External" /><Relationship Type="http://schemas.openxmlformats.org/officeDocument/2006/relationships/hyperlink" Id="rId20" Target="mailto:jinlong.ru@tum.de" TargetMode="External" /><Relationship Type="http://schemas.openxmlformats.org/officeDocument/2006/relationships/hyperlink" Id="rId25" Target="mailto:linmao@jmu.edu.cn" TargetMode="External" /><Relationship Type="http://schemas.openxmlformats.org/officeDocument/2006/relationships/hyperlink" Id="rId26" Target="mailto:sujianguo@mail.hzau.edu.cn" TargetMode="External" /><Relationship Type="http://schemas.openxmlformats.org/officeDocument/2006/relationships/hyperlink" Id="rId27" Target="mailto:zenglingbing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5281/zenodo.17454899" TargetMode="External" /><Relationship Type="http://schemas.openxmlformats.org/officeDocument/2006/relationships/hyperlink" Id="rId21" Target="https://doi.org/10.6084/m9.figshare.30500525" TargetMode="External" /><Relationship Type="http://schemas.openxmlformats.org/officeDocument/2006/relationships/hyperlink" Id="rId24" Target="mailto:adm39@leicester.ac.uk" TargetMode="External" /><Relationship Type="http://schemas.openxmlformats.org/officeDocument/2006/relationships/hyperlink" Id="rId23" Target="mailto:evelien.adriaenssens@quadram.ac.uk" TargetMode="External" /><Relationship Type="http://schemas.openxmlformats.org/officeDocument/2006/relationships/hyperlink" Id="rId20" Target="mailto:jinlong.ru@tum.de" TargetMode="External" /><Relationship Type="http://schemas.openxmlformats.org/officeDocument/2006/relationships/hyperlink" Id="rId25" Target="mailto:linmao@jmu.edu.cn" TargetMode="External" /><Relationship Type="http://schemas.openxmlformats.org/officeDocument/2006/relationships/hyperlink" Id="rId26" Target="mailto:sujianguo@mail.hzau.edu.cn" TargetMode="External" /><Relationship Type="http://schemas.openxmlformats.org/officeDocument/2006/relationships/hyperlink" Id="rId27" Target="mailto:zenglingbin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2026-06-17T10:32:16Z</dcterms:created>
  <dcterms:modified xsi:type="dcterms:W3CDTF">2026-06-17T10:32:16Z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