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Prof. Dr. Li Deng</w:t>
      </w:r>
      <w:r>
        <w:br/>
      </w:r>
      <w:r>
        <w:t xml:space="preserve">Technical University of Munich; Prevention of Microbial Diseases, TUM School of Life Sciences; Central Institute of Infection Prevention (ZIP)</w:t>
      </w:r>
      <w:r>
        <w:br/>
      </w:r>
      <w:r>
        <w:t xml:space="preserve">Helmholtz Centre Munich — Institute of Virology</w:t>
      </w:r>
      <w:r>
        <w:br/>
      </w:r>
      <w:r>
        <w:t xml:space="preserve">li.deng@tum.de</w:t>
      </w:r>
    </w:p>
    <w:p>
      <w:pPr>
        <w:pStyle w:val="BodyText"/>
      </w:pPr>
      <w:r>
        <w:t xml:space="preserve">3 June 2026</w:t>
      </w:r>
    </w:p>
    <w:p>
      <w:pPr>
        <w:pStyle w:val="BodyText"/>
      </w:pPr>
      <w:r>
        <w:t xml:space="preserve">The Editors</w:t>
      </w:r>
      <w:r>
        <w:br/>
      </w:r>
      <w:r>
        <w:rPr>
          <w:i/>
          <w:iCs/>
        </w:rPr>
        <w:t xml:space="preserve">iScience</w:t>
      </w:r>
    </w:p>
    <w:p>
      <w:pPr>
        <w:pStyle w:val="BodyText"/>
      </w:pPr>
      <w:r>
        <w:t xml:space="preserve">Dear Editors,</w:t>
      </w:r>
    </w:p>
    <w:p>
      <w:pPr>
        <w:pStyle w:val="BodyText"/>
      </w:pPr>
      <w:r>
        <w:t xml:space="preserve">I am pleased to submit our manuscript,</w:t>
      </w:r>
      <w:r>
        <w:t xml:space="preserve"> </w:t>
      </w:r>
      <w:r>
        <w:rPr>
          <w:b/>
          <w:bCs/>
        </w:rPr>
        <w:t xml:space="preserve">“A novel lytic</w:t>
      </w:r>
      <w:r>
        <w:rPr>
          <w:b/>
          <w:bCs/>
        </w:rPr>
        <w:t xml:space="preserve"> </w:t>
      </w:r>
      <w:r>
        <w:rPr>
          <w:b/>
          <w:bCs/>
          <w:i/>
          <w:iCs/>
        </w:rPr>
        <w:t xml:space="preserve">Aeromonas</w:t>
      </w:r>
      <w:r>
        <w:rPr>
          <w:b/>
          <w:bCs/>
        </w:rPr>
        <w:t xml:space="preserve"> </w:t>
      </w:r>
      <w:r>
        <w:rPr>
          <w:b/>
          <w:bCs/>
        </w:rPr>
        <w:t xml:space="preserve">bacteriophage rescues largemouth bass from lethal</w:t>
      </w:r>
      <w:r>
        <w:rPr>
          <w:b/>
          <w:bCs/>
        </w:rPr>
        <w:t xml:space="preserve"> </w:t>
      </w:r>
      <w:r>
        <w:rPr>
          <w:b/>
          <w:bCs/>
          <w:i/>
          <w:iCs/>
        </w:rPr>
        <w:t xml:space="preserve">Aeromonas hydrophila</w:t>
      </w:r>
      <w:r>
        <w:rPr>
          <w:b/>
          <w:bCs/>
        </w:rPr>
        <w:t xml:space="preserve"> </w:t>
      </w:r>
      <w:r>
        <w:rPr>
          <w:b/>
          <w:bCs/>
        </w:rPr>
        <w:t xml:space="preserve">infection,”</w:t>
      </w:r>
      <w:r>
        <w:t xml:space="preserve"> </w:t>
      </w:r>
      <w:r>
        <w:t xml:space="preserve">for consideration as an Article in</w:t>
      </w:r>
      <w:r>
        <w:t xml:space="preserve"> </w:t>
      </w:r>
      <w:r>
        <w:rPr>
          <w:i/>
          <w:iCs/>
        </w:rPr>
        <w:t xml:space="preserve">iScience</w:t>
      </w:r>
      <w:r>
        <w:t xml:space="preserve">.</w:t>
      </w:r>
    </w:p>
    <w:p>
      <w:pPr>
        <w:pStyle w:val="BodyText"/>
      </w:pPr>
      <w:r>
        <w:rPr>
          <w:i/>
          <w:iCs/>
        </w:rPr>
        <w:t xml:space="preserve">Aeromonas hydrophila</w:t>
      </w:r>
      <w:r>
        <w:t xml:space="preserve">, a leading pathogen of global freshwater aquaculture, is increasingly multidrug-resistant, eroding antibiotic control and intensifying the search for sustainable alternatives such as phage therapy. Yet the phages of this globally important pathogen remain sparsely sampled at the genome level, and few candidate biocontrol phages have been characterized deeply enough to connect their evolutionary novelty to a measured therapeutic benefit. The conceptual advance of our study is to close that gap in a single isolate, linking three findings:</w:t>
      </w:r>
    </w:p>
    <w:p>
      <w:pPr>
        <w:numPr>
          <w:ilvl w:val="0"/>
          <w:numId w:val="1001"/>
        </w:numPr>
      </w:pPr>
      <w:r>
        <w:rPr>
          <w:b/>
          <w:bCs/>
        </w:rPr>
        <w:t xml:space="preserve">A highly distinct new viral genus.</w:t>
      </w:r>
      <w:r>
        <w:t xml:space="preserve"> </w:t>
      </w:r>
      <w:r>
        <w:t xml:space="preserve">Integrating nucleotide-level (VIRIDIC, 83.65% intergenomic similarity), whole-proteome (ViPTree), amino-acid genome-BLAST distance phylogeny (VICTOR), and protein-sharing network (vConTACT3) analyses, phage Hp3 and its closest relative HJ05 form a new, highly distinct genus within the class</w:t>
      </w:r>
      <w:r>
        <w:t xml:space="preserve"> </w:t>
      </w:r>
      <w:r>
        <w:rPr>
          <w:i/>
          <w:iCs/>
        </w:rPr>
        <w:t xml:space="preserve">Caudoviricetes</w:t>
      </w:r>
      <w:r>
        <w:t xml:space="preserve"> </w:t>
      </w:r>
      <w:r>
        <w:t xml:space="preserve">— with no more than 0.073 whole-proteome similarity to any classified virus and clear separation from all established families. This places Hp3 in an under-explored region of viral sequence space and indicates that the phages of a globally important aquaculture pathogen remain substantially undersampled.</w:t>
      </w:r>
    </w:p>
    <w:p>
      <w:pPr>
        <w:numPr>
          <w:ilvl w:val="0"/>
          <w:numId w:val="1001"/>
        </w:numPr>
      </w:pPr>
      <w:r>
        <w:rPr>
          <w:b/>
          <w:bCs/>
        </w:rPr>
        <w:t xml:space="preserve">Demonstrated</w:t>
      </w:r>
      <w:r>
        <w:rPr>
          <w:b/>
          <w:bCs/>
        </w:rPr>
        <w:t xml:space="preserve"> </w:t>
      </w:r>
      <w:r>
        <w:rPr>
          <w:b/>
          <w:bCs/>
          <w:i/>
          <w:iCs/>
        </w:rPr>
        <w:t xml:space="preserve">in vivo</w:t>
      </w:r>
      <w:r>
        <w:rPr>
          <w:b/>
          <w:bCs/>
        </w:rPr>
        <w:t xml:space="preserve"> </w:t>
      </w:r>
      <w:r>
        <w:rPr>
          <w:b/>
          <w:bCs/>
        </w:rPr>
        <w:t xml:space="preserve">efficacy and host safety.</w:t>
      </w:r>
      <w:r>
        <w:t xml:space="preserve"> </w:t>
      </w:r>
      <w:r>
        <w:t xml:space="preserve">A single administration (multiplicity of infection 1.0) increased the seven-day survival of largemouth bass from 15% to 85% under lethal challenge, while fish receiving phage alone showed 100% survival with no histopathology.</w:t>
      </w:r>
    </w:p>
    <w:p>
      <w:pPr>
        <w:numPr>
          <w:ilvl w:val="0"/>
          <w:numId w:val="1001"/>
        </w:numPr>
      </w:pPr>
      <w:r>
        <w:rPr>
          <w:b/>
          <w:bCs/>
        </w:rPr>
        <w:t xml:space="preserve">A genomically safe, well-defined biocontrol candidate.</w:t>
      </w:r>
      <w:r>
        <w:t xml:space="preserve"> </w:t>
      </w:r>
      <w:r>
        <w:t xml:space="preserve">Hp3 carries no antibiotic-resistance genes and no known virulence determinants, and exhibits rapid lytic kinetics with broad temperature and pH stability.</w:t>
      </w:r>
    </w:p>
    <w:p>
      <w:pPr>
        <w:pStyle w:val="FirstParagraph"/>
      </w:pPr>
      <w:r>
        <w:t xml:space="preserve">We believe this study is well suited to</w:t>
      </w:r>
      <w:r>
        <w:t xml:space="preserve"> </w:t>
      </w:r>
      <w:r>
        <w:rPr>
          <w:i/>
          <w:iCs/>
        </w:rPr>
        <w:t xml:space="preserve">iScience</w:t>
      </w:r>
      <w:r>
        <w:t xml:space="preserve">. It combines rigorous, multi-method genomic characterization — integrating nucleotide-, proteome-, and network-level taxonomy — with a controlled</w:t>
      </w:r>
      <w:r>
        <w:t xml:space="preserve"> </w:t>
      </w:r>
      <w:r>
        <w:rPr>
          <w:i/>
          <w:iCs/>
        </w:rPr>
        <w:t xml:space="preserve">in vivo</w:t>
      </w:r>
      <w:r>
        <w:t xml:space="preserve"> </w:t>
      </w:r>
      <w:r>
        <w:t xml:space="preserve">assessment of both efficacy and host safety, bridging viral evolution, aquaculture microbiology, and translational phage biology. By linking the discovery of a genomically distinct virus to a measurable survival benefit, the work offers the kind of technically sound, interdisciplinary advance that the broad readership of</w:t>
      </w:r>
      <w:r>
        <w:t xml:space="preserve"> </w:t>
      </w:r>
      <w:r>
        <w:rPr>
          <w:i/>
          <w:iCs/>
        </w:rPr>
        <w:t xml:space="preserve">iScience</w:t>
      </w:r>
      <w:r>
        <w:t xml:space="preserve"> </w:t>
      </w:r>
      <w:r>
        <w:t xml:space="preserve">values.</w:t>
      </w:r>
    </w:p>
    <w:p>
      <w:pPr>
        <w:pStyle w:val="BodyText"/>
      </w:pPr>
      <w:r>
        <w:t xml:space="preserve">The manuscript is original, has not been published previously, and is not under consideration elsewhere. As a corresponding author, I consent to its publication and confirm that the content and authorship of this manuscript have been approved by all authors; the authors declare no competing interests. All raw sequencing data and assembled genomes are openly available in NCBI BioProject PRJNA1348731 (Hp3 genome under GenBank PX754746.1); figure source data are deposited in Figshare (10.6084/m9.figshare.30500525) and the analysis code is archived in Zenodo (10.5281/zenodo.17454899). All animal experiments followed the ARRIVE guidelines and were approved by the Institutional Animal Care and Use Committee (approval no. NWAFU-314020038).</w:t>
      </w:r>
    </w:p>
    <w:p>
      <w:pPr>
        <w:pStyle w:val="BodyText"/>
      </w:pPr>
      <w:r>
        <w:rPr>
          <w:b/>
          <w:bCs/>
        </w:rPr>
        <w:t xml:space="preserve">Suggested reviewers</w:t>
      </w:r>
      <w:r>
        <w:t xml:space="preserve"> </w:t>
      </w:r>
      <w:r>
        <w:t xml:space="preserve">(none has a conflict of interest; none is a recent collaborator or co-author of the authors):</w:t>
      </w:r>
    </w:p>
    <w:p>
      <w:pPr>
        <w:pStyle w:val="Compact"/>
        <w:numPr>
          <w:ilvl w:val="0"/>
          <w:numId w:val="1002"/>
        </w:numPr>
      </w:pPr>
      <w:r>
        <w:rPr>
          <w:b/>
          <w:bCs/>
        </w:rPr>
        <w:t xml:space="preserve">Martha R. J. Clokie</w:t>
      </w:r>
      <w:r>
        <w:t xml:space="preserve">, University of Leicester, UK (mrjc1@leicester.ac.uk) — Professor of Microbiology and Director of the Centre for Phage Research; bacteriophage biology, isolation, and phage therapy; founding Editor-in-Chief of</w:t>
      </w:r>
      <w:r>
        <w:t xml:space="preserve"> </w:t>
      </w:r>
      <w:r>
        <w:rPr>
          <w:i/>
          <w:iCs/>
        </w:rPr>
        <w:t xml:space="preserve">PHAGE: Therapy, Applications, and Research</w:t>
      </w:r>
      <w:r>
        <w:t xml:space="preserve">.</w:t>
      </w:r>
    </w:p>
    <w:p>
      <w:pPr>
        <w:pStyle w:val="Compact"/>
        <w:numPr>
          <w:ilvl w:val="0"/>
          <w:numId w:val="1002"/>
        </w:numPr>
      </w:pPr>
      <w:r>
        <w:rPr>
          <w:b/>
          <w:bCs/>
        </w:rPr>
        <w:t xml:space="preserve">Jelle Matthijnssens</w:t>
      </w:r>
      <w:r>
        <w:t xml:space="preserve">, KU Leuven, Belgium (jelle.matthijnssens@kuleuven.be) — head of the Laboratory of Viral Metagenomics, Rega Institute; viral metagenomics, virus discovery, and prokaryotic/eukaryotic virus taxonomy.</w:t>
      </w:r>
    </w:p>
    <w:p>
      <w:pPr>
        <w:pStyle w:val="Compact"/>
        <w:numPr>
          <w:ilvl w:val="0"/>
          <w:numId w:val="1002"/>
        </w:numPr>
      </w:pPr>
      <w:r>
        <w:rPr>
          <w:b/>
          <w:bCs/>
        </w:rPr>
        <w:t xml:space="preserve">Andrew D. Millard</w:t>
      </w:r>
      <w:r>
        <w:t xml:space="preserve">, University of Leicester, UK (adm39@leicester.ac.uk) — bacteriophage comparative genomics, reference-genome curation, and therapeutic phages.</w:t>
      </w:r>
    </w:p>
    <w:p>
      <w:pPr>
        <w:pStyle w:val="Compact"/>
        <w:numPr>
          <w:ilvl w:val="0"/>
          <w:numId w:val="1002"/>
        </w:numPr>
      </w:pPr>
      <w:r>
        <w:rPr>
          <w:b/>
          <w:bCs/>
        </w:rPr>
        <w:t xml:space="preserve">Jianguo Su</w:t>
      </w:r>
      <w:r>
        <w:t xml:space="preserve">, College of Fisheries, Huazhong Agricultural University, Wuhan, China (sujianguo@mail.hzau.edu.cn) — fish antibacterial immunity and</w:t>
      </w:r>
      <w:r>
        <w:t xml:space="preserve"> </w:t>
      </w:r>
      <w:r>
        <w:rPr>
          <w:i/>
          <w:iCs/>
        </w:rPr>
        <w:t xml:space="preserve">A. hydrophila in vivo</w:t>
      </w:r>
      <w:r>
        <w:t xml:space="preserve"> </w:t>
      </w:r>
      <w:r>
        <w:t xml:space="preserve">challenge models.</w:t>
      </w:r>
    </w:p>
    <w:p>
      <w:pPr>
        <w:pStyle w:val="Compact"/>
        <w:numPr>
          <w:ilvl w:val="0"/>
          <w:numId w:val="1002"/>
        </w:numPr>
      </w:pPr>
      <w:r>
        <w:rPr>
          <w:b/>
          <w:bCs/>
        </w:rPr>
        <w:t xml:space="preserve">Lingbing Zeng</w:t>
      </w:r>
      <w:r>
        <w:t xml:space="preserve">, Yangtze River Fisheries Research Institute, Chinese Academy of Fishery Sciences, Wuhan, China (zenglingbing@gmail.com) — fish pathology and largemouth bass (</w:t>
      </w:r>
      <w:r>
        <w:rPr>
          <w:i/>
          <w:iCs/>
        </w:rPr>
        <w:t xml:space="preserve">Micropterus salmoides</w:t>
      </w:r>
      <w:r>
        <w:t xml:space="preserve">) disease models.</w:t>
      </w:r>
    </w:p>
    <w:p>
      <w:pPr>
        <w:pStyle w:val="FirstParagraph"/>
      </w:pPr>
      <w:r>
        <w:t xml:space="preserve">I thank you for considering our work and look forward to your response.</w:t>
      </w:r>
    </w:p>
    <w:p>
      <w:pPr>
        <w:pStyle w:val="BodyText"/>
      </w:pPr>
      <w:r>
        <w:t xml:space="preserve">Sincerely,</w:t>
      </w:r>
    </w:p>
    <w:p>
      <w:pPr>
        <w:pStyle w:val="BodyText"/>
      </w:pPr>
      <w:r>
        <w:rPr>
          <w:b/>
          <w:bCs/>
        </w:rPr>
        <w:t xml:space="preserve">Prof. Dr. Li Deng</w:t>
      </w:r>
      <w:r>
        <w:br/>
      </w:r>
      <w:r>
        <w:t xml:space="preserve">on behalf of all authors</w:t>
      </w:r>
      <w:r>
        <w:br/>
      </w:r>
      <w:r>
        <w:t xml:space="preserve">(co-corresponding authors: Li Deng, Gaoxue Wang, and Jinlong Ru)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2026-06-03T19:31:36Z</dcterms:created>
  <dcterms:modified xsi:type="dcterms:W3CDTF">2026-06-03T19:31:36Z</dcterms:modified>
</cp:coreProperties>
</file>

<file path=docProps/custom.xml><?xml version="1.0" encoding="utf-8"?>
<Properties xmlns="http://schemas.openxmlformats.org/officeDocument/2006/custom-properties" xmlns:vt="http://schemas.openxmlformats.org/officeDocument/2006/docPropsVTypes"/>
</file>