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Overblik over Afdelingers Arbejdsområder</w:t>
      </w:r>
    </w:p>
    <w:p>
      <w:pPr>
        <w:jc w:val="center"/>
      </w:pPr>
      <w:r>
        <w:t>Opdateret: November 2024</w:t>
      </w:r>
    </w:p>
    <w:p/>
    <w:tbl>
      <w:tblPr>
        <w:tblStyle w:val="LightList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3600"/>
        <w:gridCol w:w="4320"/>
      </w:tblGrid>
      <w:tr>
        <w:tc>
          <w:tcPr>
            <w:tcW w:type="dxa" w:w="4800"/>
            <w:vAlign w:val="center"/>
          </w:tcPr>
          <w:p>
            <w:pPr>
              <w:jc w:val="center"/>
            </w:pPr>
            <w:r>
              <w:t>Afdeling</w:t>
            </w:r>
            <w:r>
              <w:rPr>
                <w:b/>
              </w:rPr>
              <w:t>Afdeling</w:t>
            </w:r>
          </w:p>
        </w:tc>
        <w:tc>
          <w:tcPr>
            <w:tcW w:type="dxa" w:w="4800"/>
            <w:vAlign w:val="center"/>
          </w:tcPr>
          <w:p>
            <w:pPr>
              <w:jc w:val="center"/>
            </w:pPr>
            <w:r>
              <w:t>Overblik</w:t>
            </w:r>
            <w:r>
              <w:rPr>
                <w:b/>
              </w:rPr>
              <w:t>Overblik</w:t>
            </w:r>
          </w:p>
        </w:tc>
        <w:tc>
          <w:tcPr>
            <w:tcW w:type="dxa" w:w="4800"/>
            <w:vAlign w:val="center"/>
          </w:tcPr>
          <w:p>
            <w:pPr>
              <w:jc w:val="center"/>
            </w:pPr>
            <w:r>
              <w:t>Detaljer</w:t>
            </w:r>
            <w:r>
              <w:rPr>
                <w:b/>
              </w:rPr>
              <w:t>Detaljer</w:t>
            </w:r>
          </w:p>
        </w:tc>
      </w:tr>
      <w:tr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Jura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Vigtigheden af en løsning vedr. realkreditbelåning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Realkreditsagen er det mest væsentlige. Denne sag er afgørende for netmedlemmerne, da realkreditbelåning er en kritisk faktor i finansieringen af vedvarende energiprojekter.</w:t>
              <w:br/>
              <w:br/>
              <w:t>Netselskabernes netstationer skal tinglyses, hvis de ligger i en bygningslignende konstruktion.</w:t>
              <w:br/>
              <w:t>Netselskaberne skal betale tinglysningsafgift af hele deres realkreditlån ved tilførsel af nye netstationer.</w:t>
            </w:r>
          </w:p>
        </w:tc>
      </w:tr>
      <w:tr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Netanalyse og Asset Management samt Beredskab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Fokus på lovgivningen om cybersikkerhed og beredskab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Afdelingen arbejder med forsvarsforliget, beredskabsaftalen og lovforslag om styrket beredskab i energisektoren. Fokus er på nationale strategier og implementering af NIS2 og CER-direktiverne.</w:t>
            </w:r>
          </w:p>
        </w:tc>
      </w:tr>
      <w:tr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Marked, Varme &amp; Intelligent Energi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Lovgivning og Initiativer inden for Varme og Bæredygtighed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Afdelingen fokuserer på CO2-fangst, bæredygtighedskrav for biomasse, og evaluering af Varmepumpepuljen. Der arbejdes også med lovgivning om el-, gasforsyning og miljøvenligt design.</w:t>
            </w:r>
          </w:p>
        </w:tc>
      </w:tr>
      <w:tr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Vedvarende Energi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Gennemgang af Sager Relateret til EØB og Energilagring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Områder inkluderer VE-offshore, VE-land, og henvinding af havnatur. Fokus på projekter som Energiø Bornholm og grøn omstilling af luftfarten.</w:t>
            </w:r>
          </w:p>
        </w:tc>
      </w:tr>
      <w:tr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Public Affairs, Danmark &amp; EU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Løbende Løft af Husets Politiske Sager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Arbejder med realkreditsagen, brint, VE, finanslovsprocessen og samarbejder med stakeholders i EU i forbindelse med det nye parlament og kommission.</w:t>
            </w:r>
          </w:p>
        </w:tc>
      </w:tr>
      <w:tr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Analyse &amp; Økonomi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Finanslov, Klimalov og A-projekt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Afdelingen følger finansloven og arbejder med klimaloven i forbindelse med A-projektet. Fokus på biogasudbud og modregning af EU-midler.</w:t>
            </w:r>
          </w:p>
        </w:tc>
      </w:tr>
      <w:tr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Industri, Innovation og Klimapolitik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Forskning og Kommercielle Udspil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Fokus på investeringsscreeningsloven, One-Stop-Shop for industriparker, og modregning af EU-midler. Planlægger offentliggørelse af innovations- og industriudspil i januar 2025.</w:t>
            </w:r>
          </w:p>
        </w:tc>
      </w:tr>
      <w:tr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PtX (Power-to-X)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Brintrør og Grøn Luftfart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Arbejder med brintrør, lovprogrammer for VE, og grøn omstilling af luftfarten. Fokus på teknisk vandforsyning og e-SAF udvikling.</w:t>
            </w:r>
          </w:p>
        </w:tc>
      </w:tr>
      <w:tr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Netøkonomi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Elnet og Regulering</w:t>
            </w:r>
          </w:p>
        </w:tc>
        <w:tc>
          <w:tcPr>
            <w:tcW w:type="dxa" w:w="4800"/>
            <w:vAlign w:val="top"/>
          </w:tcPr>
          <w:p>
            <w:pPr>
              <w:jc w:val="left"/>
            </w:pPr>
            <w:r>
              <w:rPr>
                <w:sz w:val="16"/>
              </w:rPr>
              <w:t>Fokus på NEKST-rapporten, borgerenergifællesskaber, tarifmetoder og EU-regulering. Arbejder også med realkreditsagen og investeringer i elnettet.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