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56322" w14:textId="77777777" w:rsidR="000D72CD" w:rsidRDefault="00000000">
      <w:pPr>
        <w:jc w:val="center"/>
      </w:pPr>
      <w:r>
        <w:fldChar w:fldCharType="begin"/>
      </w:r>
      <w:r>
        <w:instrText>TOC \o "1-3" \h \z \u</w:instrText>
      </w:r>
      <w:r>
        <w:fldChar w:fldCharType="separate"/>
      </w:r>
      <w:r>
        <w:fldChar w:fldCharType="end"/>
      </w:r>
    </w:p>
    <w:p w14:paraId="3058E2D3" w14:textId="77777777" w:rsidR="000D72CD" w:rsidRDefault="00000000">
      <w:r>
        <w:br w:type="page"/>
      </w:r>
    </w:p>
    <w:p w14:paraId="5D027977" w14:textId="77777777" w:rsidR="000D72CD" w:rsidRPr="002135DE" w:rsidRDefault="00000000">
      <w:pPr>
        <w:pStyle w:val="Overskrift1"/>
        <w:rPr>
          <w:lang w:val="da-DK"/>
        </w:rPr>
      </w:pPr>
      <w:r w:rsidRPr="002135DE">
        <w:rPr>
          <w:lang w:val="da-DK"/>
        </w:rPr>
        <w:lastRenderedPageBreak/>
        <w:t>Oversigt over PA-bestillinger og Afdelingernes Svar</w:t>
      </w:r>
    </w:p>
    <w:p w14:paraId="42FAA8A4" w14:textId="77777777" w:rsidR="000D72CD" w:rsidRPr="002135DE" w:rsidRDefault="00000000">
      <w:pPr>
        <w:rPr>
          <w:lang w:val="da-DK"/>
        </w:rPr>
      </w:pPr>
      <w:r w:rsidRPr="002135DE">
        <w:rPr>
          <w:lang w:val="da-DK"/>
        </w:rPr>
        <w:t>Tabellen giver et grundigt overblik over de konkrete bestillinger, som PA har sendt til de forskellige afdelinger i Green Power Denmark, samt afdelingernes specifikke svar. Afdelingen Marked, Varme og Intelligent Energi har mest præsenteret et overblik over de opgaver, der følges op på. Der er dog kun få områder, hvor der er blevet udtrykt en specifik GPD-interesse, herunderCO2-fangstaktiviteteroglovændringer inden for varmeforsyning.</w:t>
      </w:r>
    </w:p>
    <w:p w14:paraId="25247053" w14:textId="77777777" w:rsidR="000D72CD" w:rsidRPr="002135DE" w:rsidRDefault="00000000">
      <w:pPr>
        <w:pStyle w:val="Overskrift2"/>
        <w:rPr>
          <w:lang w:val="da-DK"/>
        </w:rPr>
      </w:pPr>
      <w:r w:rsidRPr="002135DE">
        <w:rPr>
          <w:lang w:val="da-DK"/>
        </w:rPr>
        <w:t>Samlet Tabel over Bestillinger og Svar</w:t>
      </w:r>
    </w:p>
    <w:tbl>
      <w:tblPr>
        <w:tblStyle w:val="Tabel-Gitter"/>
        <w:tblW w:w="13575" w:type="dxa"/>
        <w:tblLook w:val="04A0" w:firstRow="1" w:lastRow="0" w:firstColumn="1" w:lastColumn="0" w:noHBand="0" w:noVBand="1"/>
      </w:tblPr>
      <w:tblGrid>
        <w:gridCol w:w="1809"/>
        <w:gridCol w:w="2127"/>
        <w:gridCol w:w="7229"/>
        <w:gridCol w:w="2410"/>
      </w:tblGrid>
      <w:tr w:rsidR="000D72CD" w14:paraId="4859EFDF" w14:textId="77777777" w:rsidTr="002135DE">
        <w:tc>
          <w:tcPr>
            <w:tcW w:w="1809" w:type="dxa"/>
          </w:tcPr>
          <w:p w14:paraId="01F5E457" w14:textId="77777777" w:rsidR="000D72CD" w:rsidRDefault="00000000">
            <w:proofErr w:type="spellStart"/>
            <w:r>
              <w:t>Afdeling</w:t>
            </w:r>
            <w:proofErr w:type="spellEnd"/>
          </w:p>
        </w:tc>
        <w:tc>
          <w:tcPr>
            <w:tcW w:w="2127" w:type="dxa"/>
          </w:tcPr>
          <w:p w14:paraId="51459C52" w14:textId="77777777" w:rsidR="000D72CD" w:rsidRDefault="00000000">
            <w:proofErr w:type="spellStart"/>
            <w:r>
              <w:t>Kontaktperson</w:t>
            </w:r>
            <w:proofErr w:type="spellEnd"/>
          </w:p>
        </w:tc>
        <w:tc>
          <w:tcPr>
            <w:tcW w:w="7229" w:type="dxa"/>
          </w:tcPr>
          <w:p w14:paraId="768AD0E7" w14:textId="46549D13" w:rsidR="000D72CD" w:rsidRDefault="00000000">
            <w:r>
              <w:t xml:space="preserve">Svar </w:t>
            </w:r>
            <w:proofErr w:type="spellStart"/>
            <w:r>
              <w:t>fra</w:t>
            </w:r>
            <w:proofErr w:type="spellEnd"/>
            <w:r>
              <w:t xml:space="preserve"> </w:t>
            </w:r>
            <w:proofErr w:type="spellStart"/>
            <w:r w:rsidR="002135DE">
              <w:t>a</w:t>
            </w:r>
            <w:r>
              <w:t>fdelingen</w:t>
            </w:r>
            <w:proofErr w:type="spellEnd"/>
          </w:p>
        </w:tc>
        <w:tc>
          <w:tcPr>
            <w:tcW w:w="2410" w:type="dxa"/>
          </w:tcPr>
          <w:p w14:paraId="4AFCF61B" w14:textId="77777777" w:rsidR="000D72CD" w:rsidRDefault="00000000">
            <w:proofErr w:type="spellStart"/>
            <w:r>
              <w:t>Bemærkninger</w:t>
            </w:r>
            <w:proofErr w:type="spellEnd"/>
            <w:r>
              <w:t xml:space="preserve"> </w:t>
            </w:r>
            <w:proofErr w:type="spellStart"/>
            <w:r>
              <w:t>fra</w:t>
            </w:r>
            <w:proofErr w:type="spellEnd"/>
            <w:r>
              <w:t xml:space="preserve"> PA</w:t>
            </w:r>
          </w:p>
          <w:p w14:paraId="467D19F7" w14:textId="15EC645C" w:rsidR="002135DE" w:rsidRDefault="002135DE"/>
        </w:tc>
      </w:tr>
      <w:tr w:rsidR="000D72CD" w:rsidRPr="002135DE" w14:paraId="299F558A" w14:textId="77777777" w:rsidTr="002135DE">
        <w:tc>
          <w:tcPr>
            <w:tcW w:w="1809" w:type="dxa"/>
          </w:tcPr>
          <w:p w14:paraId="3D54215E" w14:textId="77777777" w:rsidR="000D72CD" w:rsidRDefault="00000000">
            <w:r>
              <w:t>Jura</w:t>
            </w:r>
          </w:p>
        </w:tc>
        <w:tc>
          <w:tcPr>
            <w:tcW w:w="2127" w:type="dxa"/>
          </w:tcPr>
          <w:p w14:paraId="5F90E771" w14:textId="77777777" w:rsidR="000D72CD" w:rsidRDefault="00000000">
            <w:r>
              <w:t>Regitze Prahl</w:t>
            </w:r>
          </w:p>
        </w:tc>
        <w:tc>
          <w:tcPr>
            <w:tcW w:w="7229" w:type="dxa"/>
          </w:tcPr>
          <w:p w14:paraId="550BC127" w14:textId="7E7E812B" w:rsidR="000D72CD" w:rsidRPr="002135DE" w:rsidRDefault="00000000">
            <w:pPr>
              <w:rPr>
                <w:lang w:val="da-DK"/>
              </w:rPr>
            </w:pPr>
            <w:r w:rsidRPr="002135DE">
              <w:rPr>
                <w:lang w:val="da-DK"/>
              </w:rPr>
              <w:t>Overblik:</w:t>
            </w:r>
            <w:r w:rsidR="002135DE">
              <w:rPr>
                <w:lang w:val="da-DK"/>
              </w:rPr>
              <w:t xml:space="preserve"> </w:t>
            </w:r>
            <w:r w:rsidRPr="002135DE">
              <w:rPr>
                <w:lang w:val="da-DK"/>
              </w:rPr>
              <w:t>Vigtigheden af en løsning vedr. realkreditbelåning.</w:t>
            </w:r>
            <w:r w:rsidRPr="002135DE">
              <w:rPr>
                <w:lang w:val="da-DK"/>
              </w:rPr>
              <w:br/>
              <w:t>Regitze fremhæver sagen om</w:t>
            </w:r>
            <w:r w:rsidRPr="002135DE">
              <w:rPr>
                <w:lang w:val="da-DK"/>
              </w:rPr>
              <w:br/>
              <w:t>realkreditbelåning</w:t>
            </w:r>
            <w:r w:rsidRPr="002135DE">
              <w:rPr>
                <w:lang w:val="da-DK"/>
              </w:rPr>
              <w:br/>
              <w:t xml:space="preserve">som den mest væsentlige. Denne sag er afgørende for </w:t>
            </w:r>
            <w:proofErr w:type="spellStart"/>
            <w:r w:rsidRPr="002135DE">
              <w:rPr>
                <w:lang w:val="da-DK"/>
              </w:rPr>
              <w:t>netmedlemmerne</w:t>
            </w:r>
            <w:proofErr w:type="spellEnd"/>
            <w:r w:rsidRPr="002135DE">
              <w:rPr>
                <w:lang w:val="da-DK"/>
              </w:rPr>
              <w:t xml:space="preserve">, da realkreditbelåning er en kritisk faktor i finansieringen af vedvarende energiprojekter. To udfordringer er fremhævet: (a) </w:t>
            </w:r>
            <w:proofErr w:type="spellStart"/>
            <w:r w:rsidRPr="002135DE">
              <w:rPr>
                <w:lang w:val="da-DK"/>
              </w:rPr>
              <w:t>Netselskabernes</w:t>
            </w:r>
            <w:proofErr w:type="spellEnd"/>
            <w:r w:rsidRPr="002135DE">
              <w:rPr>
                <w:lang w:val="da-DK"/>
              </w:rPr>
              <w:t xml:space="preserve"> </w:t>
            </w:r>
            <w:proofErr w:type="spellStart"/>
            <w:r w:rsidRPr="002135DE">
              <w:rPr>
                <w:lang w:val="da-DK"/>
              </w:rPr>
              <w:t>netstationer</w:t>
            </w:r>
            <w:proofErr w:type="spellEnd"/>
            <w:r w:rsidRPr="002135DE">
              <w:rPr>
                <w:lang w:val="da-DK"/>
              </w:rPr>
              <w:t xml:space="preserve"> (10/0,4 </w:t>
            </w:r>
            <w:proofErr w:type="spellStart"/>
            <w:r w:rsidRPr="002135DE">
              <w:rPr>
                <w:lang w:val="da-DK"/>
              </w:rPr>
              <w:t>Kv</w:t>
            </w:r>
            <w:proofErr w:type="spellEnd"/>
            <w:r w:rsidRPr="002135DE">
              <w:rPr>
                <w:lang w:val="da-DK"/>
              </w:rPr>
              <w:t xml:space="preserve"> stationer) skal tinglyses, hvis de ligger i en bygningslignende konstruktion, og (b) </w:t>
            </w:r>
            <w:proofErr w:type="spellStart"/>
            <w:r w:rsidRPr="002135DE">
              <w:rPr>
                <w:lang w:val="da-DK"/>
              </w:rPr>
              <w:t>netselskaberne</w:t>
            </w:r>
            <w:proofErr w:type="spellEnd"/>
            <w:r w:rsidRPr="002135DE">
              <w:rPr>
                <w:lang w:val="da-DK"/>
              </w:rPr>
              <w:t xml:space="preserve"> skal betale tinglysningsafgift af hele deres realkreditlån, hver gang der tilføres en ny stor </w:t>
            </w:r>
            <w:proofErr w:type="spellStart"/>
            <w:r w:rsidRPr="002135DE">
              <w:rPr>
                <w:lang w:val="da-DK"/>
              </w:rPr>
              <w:t>netstation</w:t>
            </w:r>
            <w:proofErr w:type="spellEnd"/>
            <w:r w:rsidRPr="002135DE">
              <w:rPr>
                <w:lang w:val="da-DK"/>
              </w:rPr>
              <w:t>. Regitze understreger vigtigheden af løbende PA-</w:t>
            </w:r>
            <w:proofErr w:type="spellStart"/>
            <w:proofErr w:type="gramStart"/>
            <w:r w:rsidRPr="002135DE">
              <w:rPr>
                <w:lang w:val="da-DK"/>
              </w:rPr>
              <w:t>understøttelse,og</w:t>
            </w:r>
            <w:proofErr w:type="spellEnd"/>
            <w:proofErr w:type="gramEnd"/>
            <w:r w:rsidRPr="002135DE">
              <w:rPr>
                <w:lang w:val="da-DK"/>
              </w:rPr>
              <w:t xml:space="preserve"> PA er dybt involveret i sagen.</w:t>
            </w:r>
          </w:p>
        </w:tc>
        <w:tc>
          <w:tcPr>
            <w:tcW w:w="2410" w:type="dxa"/>
          </w:tcPr>
          <w:p w14:paraId="3EFDCC9C" w14:textId="77777777" w:rsidR="000D72CD" w:rsidRPr="002135DE" w:rsidRDefault="00000000">
            <w:pPr>
              <w:rPr>
                <w:lang w:val="da-DK"/>
              </w:rPr>
            </w:pPr>
            <w:r w:rsidRPr="002135DE">
              <w:rPr>
                <w:lang w:val="da-DK"/>
              </w:rPr>
              <w:t>KEFM, SKM og FM deler vores analyse.​</w:t>
            </w:r>
            <w:r w:rsidRPr="002135DE">
              <w:rPr>
                <w:lang w:val="da-DK"/>
              </w:rPr>
              <w:br/>
              <w:t>Plan A:</w:t>
            </w:r>
            <w:r w:rsidRPr="002135DE">
              <w:rPr>
                <w:lang w:val="da-DK"/>
              </w:rPr>
              <w:br/>
              <w:t>Løsning findes internt i regeringen.​</w:t>
            </w:r>
            <w:r w:rsidRPr="002135DE">
              <w:rPr>
                <w:lang w:val="da-DK"/>
              </w:rPr>
              <w:br/>
              <w:t>Plan B:</w:t>
            </w:r>
            <w:r w:rsidRPr="002135DE">
              <w:rPr>
                <w:lang w:val="da-DK"/>
              </w:rPr>
              <w:br/>
              <w:t>Løsning findes med oppositionen i regi af FL25-forhandlinger.​</w:t>
            </w:r>
          </w:p>
        </w:tc>
      </w:tr>
      <w:tr w:rsidR="000D72CD" w:rsidRPr="002135DE" w14:paraId="4C3FDA7F" w14:textId="77777777" w:rsidTr="002135DE">
        <w:tc>
          <w:tcPr>
            <w:tcW w:w="1809" w:type="dxa"/>
          </w:tcPr>
          <w:p w14:paraId="60A152F1" w14:textId="77777777" w:rsidR="000D72CD" w:rsidRPr="002135DE" w:rsidRDefault="00000000">
            <w:pPr>
              <w:rPr>
                <w:lang w:val="da-DK"/>
              </w:rPr>
            </w:pPr>
            <w:proofErr w:type="spellStart"/>
            <w:r w:rsidRPr="002135DE">
              <w:rPr>
                <w:lang w:val="da-DK"/>
              </w:rPr>
              <w:t>Netanalyser</w:t>
            </w:r>
            <w:proofErr w:type="spellEnd"/>
            <w:r w:rsidRPr="002135DE">
              <w:rPr>
                <w:lang w:val="da-DK"/>
              </w:rPr>
              <w:t xml:space="preserve"> og Asset Management samt Beredskab</w:t>
            </w:r>
          </w:p>
        </w:tc>
        <w:tc>
          <w:tcPr>
            <w:tcW w:w="2127" w:type="dxa"/>
          </w:tcPr>
          <w:p w14:paraId="27F7D027" w14:textId="77777777" w:rsidR="000D72CD" w:rsidRDefault="00000000">
            <w:r>
              <w:t>Asbjørn Thranov (Jørgen S. Christensen)</w:t>
            </w:r>
          </w:p>
        </w:tc>
        <w:tc>
          <w:tcPr>
            <w:tcW w:w="7229" w:type="dxa"/>
          </w:tcPr>
          <w:p w14:paraId="68F93185" w14:textId="77777777" w:rsidR="000D72CD" w:rsidRPr="002135DE" w:rsidRDefault="00000000">
            <w:pPr>
              <w:rPr>
                <w:lang w:val="da-DK"/>
              </w:rPr>
            </w:pPr>
            <w:r w:rsidRPr="002135DE">
              <w:rPr>
                <w:lang w:val="da-DK"/>
              </w:rPr>
              <w:t>Overblik:</w:t>
            </w:r>
            <w:r w:rsidRPr="002135DE">
              <w:rPr>
                <w:lang w:val="da-DK"/>
              </w:rPr>
              <w:br/>
              <w:t xml:space="preserve">Fokus på lovgivningen om </w:t>
            </w:r>
            <w:proofErr w:type="spellStart"/>
            <w:r w:rsidRPr="002135DE">
              <w:rPr>
                <w:lang w:val="da-DK"/>
              </w:rPr>
              <w:t>cybersikkerhed</w:t>
            </w:r>
            <w:proofErr w:type="spellEnd"/>
            <w:r w:rsidRPr="002135DE">
              <w:rPr>
                <w:lang w:val="da-DK"/>
              </w:rPr>
              <w:t xml:space="preserve"> og energisektorens beredskab.</w:t>
            </w:r>
            <w:r w:rsidRPr="002135DE">
              <w:rPr>
                <w:lang w:val="da-DK"/>
              </w:rPr>
              <w:br/>
              <w:t xml:space="preserve">Asbjørn </w:t>
            </w:r>
            <w:proofErr w:type="spellStart"/>
            <w:r w:rsidRPr="002135DE">
              <w:rPr>
                <w:lang w:val="da-DK"/>
              </w:rPr>
              <w:t>Thranovs</w:t>
            </w:r>
            <w:proofErr w:type="spellEnd"/>
            <w:r w:rsidRPr="002135DE">
              <w:rPr>
                <w:lang w:val="da-DK"/>
              </w:rPr>
              <w:t xml:space="preserve"> input:</w:t>
            </w:r>
            <w:r w:rsidRPr="002135DE">
              <w:rPr>
                <w:lang w:val="da-DK"/>
              </w:rPr>
              <w:br/>
              <w:t>Forsvarsforlig:</w:t>
            </w:r>
            <w:r w:rsidRPr="002135DE">
              <w:rPr>
                <w:lang w:val="da-DK"/>
              </w:rPr>
              <w:br/>
              <w:t>Vi ønsker klarhed over, hvilke ressourcer der afsættes til sikkerhed, som kan påvirke energibranchen. Ansvarsfordelingen i beskyttelsen af infrastrukturen er central. Vores position er, at det er et nationalt anliggende at definere kritisk infrastruktur, og at Forsvaret har ansvar for at beskytte mod sabotage fra fremmede nationer.</w:t>
            </w:r>
            <w:r w:rsidRPr="002135DE">
              <w:rPr>
                <w:lang w:val="da-DK"/>
              </w:rPr>
              <w:br/>
              <w:t>Beredskabsaftale:</w:t>
            </w:r>
            <w:r w:rsidRPr="002135DE">
              <w:rPr>
                <w:lang w:val="da-DK"/>
              </w:rPr>
              <w:br/>
              <w:t xml:space="preserve">Forsvarsministeriet udarbejder en ny beredskabsaftale med partierne bag forsvarsforliget, som skal være færdig inden årets udgang. Vi søger indsigt </w:t>
            </w:r>
            <w:r w:rsidRPr="002135DE">
              <w:rPr>
                <w:lang w:val="da-DK"/>
              </w:rPr>
              <w:lastRenderedPageBreak/>
              <w:t>i aftalens betydning for sikkerhedsområdet og mulighederne for vores bidrag.</w:t>
            </w:r>
            <w:r w:rsidRPr="002135DE">
              <w:rPr>
                <w:lang w:val="da-DK"/>
              </w:rPr>
              <w:br/>
              <w:t>Lovforslag:</w:t>
            </w:r>
            <w:r w:rsidRPr="002135DE">
              <w:rPr>
                <w:lang w:val="da-DK"/>
              </w:rPr>
              <w:br/>
              <w:t xml:space="preserve">Energiministeriet forventes at fremsætte en lov om styrket beredskab i energisektoren, der implementerer NIS2 og CER-direktiverne i dansk ret i første halvdel af 2025. Vores budskab er (a) at implementeringen skal ske samtidigt med Forsvarsministeriets love og (b) uden negative konsekvenser for mindre energiselskaber. </w:t>
            </w:r>
            <w:proofErr w:type="gramStart"/>
            <w:r w:rsidRPr="002135DE">
              <w:rPr>
                <w:lang w:val="da-DK"/>
              </w:rPr>
              <w:t>Eksempelvis</w:t>
            </w:r>
            <w:proofErr w:type="gramEnd"/>
            <w:r w:rsidRPr="002135DE">
              <w:rPr>
                <w:lang w:val="da-DK"/>
              </w:rPr>
              <w:t xml:space="preserve"> kan der være en risiko for at en kritisk aktør i en anden sektor (sygehus, telefoni/mobilmaster, kasserne, lufthavn, datacenter, varmeforsyning, rensningsanlæg el.lign.)  løfter et (lille) energiselskab (nok særligt </w:t>
            </w:r>
            <w:proofErr w:type="spellStart"/>
            <w:r w:rsidRPr="002135DE">
              <w:rPr>
                <w:lang w:val="da-DK"/>
              </w:rPr>
              <w:t>netselskaber</w:t>
            </w:r>
            <w:proofErr w:type="spellEnd"/>
            <w:r w:rsidRPr="002135DE">
              <w:rPr>
                <w:lang w:val="da-DK"/>
              </w:rPr>
              <w:t>) i et højere niveau og dermed får skærpede krav. Modsvaret bør i stedet være, at kritiske aktører i andre sektorer garderer sig selv lidt bedre med nød-/reserveforsyning.</w:t>
            </w:r>
            <w:r w:rsidRPr="002135DE">
              <w:rPr>
                <w:lang w:val="da-DK"/>
              </w:rPr>
              <w:br/>
              <w:t>Forsvarsministeriet udskyder lovbehandlingen af NIS2 og CER til første halvdel af 2025. Vi følger denne lovgivning tæt, selvom den ikke har direkte betydning for energisektoren, da der kan være overlap med energisektorens beredskab.</w:t>
            </w:r>
            <w:r w:rsidRPr="002135DE">
              <w:rPr>
                <w:lang w:val="da-DK"/>
              </w:rPr>
              <w:br/>
              <w:t>Politiske strategier:</w:t>
            </w:r>
            <w:r w:rsidRPr="002135DE">
              <w:rPr>
                <w:lang w:val="da-DK"/>
              </w:rPr>
              <w:br/>
              <w:t>Udarbejdelse af en national strategi for kritiske enheders modstandsdygtighed som led i CER-implementeringen. Vi følger dette arbejde tæt.</w:t>
            </w:r>
            <w:r w:rsidRPr="002135DE">
              <w:rPr>
                <w:lang w:val="da-DK"/>
              </w:rPr>
              <w:br/>
              <w:t xml:space="preserve">Ny national </w:t>
            </w:r>
            <w:proofErr w:type="spellStart"/>
            <w:r w:rsidRPr="002135DE">
              <w:rPr>
                <w:lang w:val="da-DK"/>
              </w:rPr>
              <w:t>cyber</w:t>
            </w:r>
            <w:proofErr w:type="spellEnd"/>
            <w:r w:rsidRPr="002135DE">
              <w:rPr>
                <w:lang w:val="da-DK"/>
              </w:rPr>
              <w:t xml:space="preserve">- og informationssikkerhedsstrategi under udvikling. Vi søger at påvirke processen via vores repræsentant i </w:t>
            </w:r>
            <w:proofErr w:type="spellStart"/>
            <w:r w:rsidRPr="002135DE">
              <w:rPr>
                <w:lang w:val="da-DK"/>
              </w:rPr>
              <w:t>Cybersikkerhedsrådet</w:t>
            </w:r>
            <w:proofErr w:type="spellEnd"/>
            <w:r w:rsidRPr="002135DE">
              <w:rPr>
                <w:lang w:val="da-DK"/>
              </w:rPr>
              <w:t>.</w:t>
            </w:r>
          </w:p>
        </w:tc>
        <w:tc>
          <w:tcPr>
            <w:tcW w:w="2410" w:type="dxa"/>
          </w:tcPr>
          <w:p w14:paraId="3AEDB4DA" w14:textId="77777777" w:rsidR="000D72CD" w:rsidRPr="002135DE" w:rsidRDefault="000D72CD">
            <w:pPr>
              <w:rPr>
                <w:lang w:val="da-DK"/>
              </w:rPr>
            </w:pPr>
          </w:p>
        </w:tc>
      </w:tr>
      <w:tr w:rsidR="000D72CD" w:rsidRPr="002135DE" w14:paraId="33489A7D" w14:textId="77777777" w:rsidTr="002135DE">
        <w:tc>
          <w:tcPr>
            <w:tcW w:w="1809" w:type="dxa"/>
          </w:tcPr>
          <w:p w14:paraId="48AE2908" w14:textId="77777777" w:rsidR="000D72CD" w:rsidRDefault="00000000">
            <w:r>
              <w:t xml:space="preserve">Marked, </w:t>
            </w:r>
            <w:proofErr w:type="spellStart"/>
            <w:r>
              <w:t>Varme</w:t>
            </w:r>
            <w:proofErr w:type="spellEnd"/>
            <w:r>
              <w:t xml:space="preserve"> &amp; Intelligent Energi</w:t>
            </w:r>
          </w:p>
        </w:tc>
        <w:tc>
          <w:tcPr>
            <w:tcW w:w="2127" w:type="dxa"/>
          </w:tcPr>
          <w:p w14:paraId="5C68EB26" w14:textId="77777777" w:rsidR="000D72CD" w:rsidRPr="002135DE" w:rsidRDefault="00000000">
            <w:pPr>
              <w:rPr>
                <w:lang w:val="da-DK"/>
              </w:rPr>
            </w:pPr>
            <w:r w:rsidRPr="002135DE">
              <w:rPr>
                <w:lang w:val="da-DK"/>
              </w:rPr>
              <w:t>Morten Lund Kristensen (Martin Dam Wied)</w:t>
            </w:r>
          </w:p>
        </w:tc>
        <w:tc>
          <w:tcPr>
            <w:tcW w:w="7229" w:type="dxa"/>
          </w:tcPr>
          <w:p w14:paraId="40120971" w14:textId="77777777" w:rsidR="000D72CD" w:rsidRPr="002135DE" w:rsidRDefault="00000000">
            <w:pPr>
              <w:rPr>
                <w:lang w:val="da-DK"/>
              </w:rPr>
            </w:pPr>
            <w:r w:rsidRPr="002135DE">
              <w:rPr>
                <w:lang w:val="da-DK"/>
              </w:rPr>
              <w:t>Overblik:</w:t>
            </w:r>
            <w:r w:rsidRPr="002135DE">
              <w:rPr>
                <w:lang w:val="da-DK"/>
              </w:rPr>
              <w:br/>
              <w:t xml:space="preserve">Fokus på lovgivning og initiativer inden for varme, CO2-fangst, </w:t>
            </w:r>
            <w:proofErr w:type="spellStart"/>
            <w:r w:rsidRPr="002135DE">
              <w:rPr>
                <w:lang w:val="da-DK"/>
              </w:rPr>
              <w:t>cybersikkerhed</w:t>
            </w:r>
            <w:proofErr w:type="spellEnd"/>
            <w:r w:rsidRPr="002135DE">
              <w:rPr>
                <w:lang w:val="da-DK"/>
              </w:rPr>
              <w:t xml:space="preserve"> og bæredygtighed.</w:t>
            </w:r>
            <w:r w:rsidRPr="002135DE">
              <w:rPr>
                <w:lang w:val="da-DK"/>
              </w:rPr>
              <w:br/>
              <w:t>Varmeområdet:</w:t>
            </w:r>
            <w:r w:rsidRPr="002135DE">
              <w:rPr>
                <w:lang w:val="da-DK"/>
              </w:rPr>
              <w:br/>
              <w:t>Lov om CO2-fangstaktiviteter i forsyningssektoren (førstebehandling 27/11)</w:t>
            </w:r>
            <w:r w:rsidRPr="002135DE">
              <w:rPr>
                <w:lang w:val="da-DK"/>
              </w:rPr>
              <w:br/>
              <w:t xml:space="preserve">Ændring af lov om varmeforsyning og planlægning – høringsproces i gang med fokus på udtrædelse af fjernvarme og godtgørelse. (førstebehandling </w:t>
            </w:r>
            <w:r w:rsidRPr="002135DE">
              <w:rPr>
                <w:lang w:val="da-DK"/>
              </w:rPr>
              <w:lastRenderedPageBreak/>
              <w:t>27/11)</w:t>
            </w:r>
            <w:r w:rsidRPr="002135DE">
              <w:rPr>
                <w:lang w:val="da-DK"/>
              </w:rPr>
              <w:br/>
              <w:t xml:space="preserve">Model for stramning af bæredygtighedskrav for biomasse forelægges aftalekreds i december </w:t>
            </w:r>
            <w:proofErr w:type="spellStart"/>
            <w:r w:rsidRPr="002135DE">
              <w:rPr>
                <w:lang w:val="da-DK"/>
              </w:rPr>
              <w:t>mhp</w:t>
            </w:r>
            <w:proofErr w:type="spellEnd"/>
            <w:r w:rsidRPr="002135DE">
              <w:rPr>
                <w:lang w:val="da-DK"/>
              </w:rPr>
              <w:t xml:space="preserve"> godkendelse.</w:t>
            </w:r>
            <w:r w:rsidRPr="002135DE">
              <w:rPr>
                <w:lang w:val="da-DK"/>
              </w:rPr>
              <w:br/>
              <w:t>Energistyrelsen: Igangværende evaluering af Varmepumpepuljen og evt. opfølgning på regeringsudspil om grønt håndværkerfradrag.</w:t>
            </w:r>
            <w:r w:rsidRPr="002135DE">
              <w:rPr>
                <w:lang w:val="da-DK"/>
              </w:rPr>
              <w:br/>
              <w:t>Data og digitalisering/</w:t>
            </w:r>
            <w:proofErr w:type="spellStart"/>
            <w:r w:rsidRPr="002135DE">
              <w:rPr>
                <w:lang w:val="da-DK"/>
              </w:rPr>
              <w:t>cybersikkerhed</w:t>
            </w:r>
            <w:proofErr w:type="spellEnd"/>
            <w:r w:rsidRPr="002135DE">
              <w:rPr>
                <w:lang w:val="da-DK"/>
              </w:rPr>
              <w:t>:</w:t>
            </w:r>
            <w:r w:rsidRPr="002135DE">
              <w:rPr>
                <w:lang w:val="da-DK"/>
              </w:rPr>
              <w:br/>
              <w:t>Lov om styrket beredskab i energisektoren (</w:t>
            </w:r>
            <w:proofErr w:type="spellStart"/>
            <w:r w:rsidRPr="002135DE">
              <w:rPr>
                <w:lang w:val="da-DK"/>
              </w:rPr>
              <w:t>IEnergi</w:t>
            </w:r>
            <w:proofErr w:type="spellEnd"/>
            <w:r w:rsidRPr="002135DE">
              <w:rPr>
                <w:lang w:val="da-DK"/>
              </w:rPr>
              <w:t xml:space="preserve"> har her fokus på sektorkobling, data og digitalisering).</w:t>
            </w:r>
            <w:r w:rsidRPr="002135DE">
              <w:rPr>
                <w:lang w:val="da-DK"/>
              </w:rPr>
              <w:br/>
              <w:t xml:space="preserve">Lov om foranstaltninger til sikring af et højt </w:t>
            </w:r>
            <w:proofErr w:type="spellStart"/>
            <w:r w:rsidRPr="002135DE">
              <w:rPr>
                <w:lang w:val="da-DK"/>
              </w:rPr>
              <w:t>cybersikkerhedsniveau</w:t>
            </w:r>
            <w:proofErr w:type="spellEnd"/>
            <w:r w:rsidRPr="002135DE">
              <w:rPr>
                <w:lang w:val="da-DK"/>
              </w:rPr>
              <w:t xml:space="preserve"> (</w:t>
            </w:r>
            <w:proofErr w:type="spellStart"/>
            <w:r w:rsidRPr="002135DE">
              <w:rPr>
                <w:lang w:val="da-DK"/>
              </w:rPr>
              <w:t>Feb</w:t>
            </w:r>
            <w:proofErr w:type="spellEnd"/>
            <w:r w:rsidRPr="002135DE">
              <w:rPr>
                <w:lang w:val="da-DK"/>
              </w:rPr>
              <w:t xml:space="preserve"> I) – delimplementering af NIS2.</w:t>
            </w:r>
            <w:r w:rsidRPr="002135DE">
              <w:rPr>
                <w:lang w:val="da-DK"/>
              </w:rPr>
              <w:br/>
              <w:t>Øvrige:</w:t>
            </w:r>
            <w:r w:rsidRPr="002135DE">
              <w:rPr>
                <w:lang w:val="da-DK"/>
              </w:rPr>
              <w:br/>
              <w:t xml:space="preserve">Ændring af lov om elforsyning, gasforsyning og straffeloven (førstebehandles 14/1) – Energistyrelsen har i den forbindelse luftet tanker om en kommende der potentielt kan indeholde forbud mod </w:t>
            </w:r>
            <w:proofErr w:type="spellStart"/>
            <w:r w:rsidRPr="002135DE">
              <w:rPr>
                <w:lang w:val="da-DK"/>
              </w:rPr>
              <w:t>nyinstallation</w:t>
            </w:r>
            <w:proofErr w:type="spellEnd"/>
            <w:r w:rsidRPr="002135DE">
              <w:rPr>
                <w:lang w:val="da-DK"/>
              </w:rPr>
              <w:t xml:space="preserve"> af gasfyr og en dato for lukning af gasnettet.</w:t>
            </w:r>
            <w:r w:rsidRPr="002135DE">
              <w:rPr>
                <w:lang w:val="da-DK"/>
              </w:rPr>
              <w:br/>
              <w:t>Lov om supplerende bestemmelser til ECODESIGN – fokus på miljøvenligt design til bæredygtige produkter. ECODESIGN = væsentlig lovgivning ift. En række produktkrav til bl.a. individuelle varmepumper</w:t>
            </w:r>
            <w:r w:rsidRPr="002135DE">
              <w:rPr>
                <w:lang w:val="da-DK"/>
              </w:rPr>
              <w:br/>
              <w:t>Ændring af lov om fremme af effektiv energianvendelse og drivhusgasreduktion (</w:t>
            </w:r>
            <w:proofErr w:type="spellStart"/>
            <w:r w:rsidRPr="002135DE">
              <w:rPr>
                <w:lang w:val="da-DK"/>
              </w:rPr>
              <w:t>Feb</w:t>
            </w:r>
            <w:proofErr w:type="spellEnd"/>
            <w:r w:rsidRPr="002135DE">
              <w:rPr>
                <w:lang w:val="da-DK"/>
              </w:rPr>
              <w:t xml:space="preserve"> II) - EED-implementering, med nyligt åbnet høring om bl.a. identificering og hjælp til ”sårbare grupper” med at løfte energimærke, fastsættelse af regler for udnyttelse af overskudsvarme fra datacentre, samt EE-regler for offentlige bygninger.</w:t>
            </w:r>
            <w:r w:rsidRPr="002135DE">
              <w:rPr>
                <w:lang w:val="da-DK"/>
              </w:rPr>
              <w:br/>
            </w:r>
            <w:proofErr w:type="spellStart"/>
            <w:r w:rsidRPr="002135DE">
              <w:rPr>
                <w:lang w:val="da-DK"/>
              </w:rPr>
              <w:t>Boblere</w:t>
            </w:r>
            <w:proofErr w:type="spellEnd"/>
            <w:r w:rsidRPr="002135DE">
              <w:rPr>
                <w:lang w:val="da-DK"/>
              </w:rPr>
              <w:t xml:space="preserve"> (omhandlende oprindelsescertifikater) :</w:t>
            </w:r>
            <w:r w:rsidRPr="002135DE">
              <w:rPr>
                <w:lang w:val="da-DK"/>
              </w:rPr>
              <w:br/>
              <w:t>Ændring af lov om fremme af vedvarende energi, biobrændstofloven, lov om gasforsyning og lov om elforsyning (gennemførelse af EU-regler om fremme af vedvarende energi og grønne brændstoffer) (førstebehandles 14/11)</w:t>
            </w:r>
            <w:r w:rsidRPr="002135DE">
              <w:rPr>
                <w:lang w:val="da-DK"/>
              </w:rPr>
              <w:br/>
              <w:t>Lov om supplerende bestemmelser til forordning om fastlæggelse af en ramme for fastsættelse af krav til miljøvenligt design for bæredygtige produkter m.v. (</w:t>
            </w:r>
            <w:proofErr w:type="spellStart"/>
            <w:r w:rsidRPr="002135DE">
              <w:rPr>
                <w:lang w:val="da-DK"/>
              </w:rPr>
              <w:t>Dec</w:t>
            </w:r>
            <w:proofErr w:type="spellEnd"/>
            <w:r w:rsidRPr="002135DE">
              <w:rPr>
                <w:lang w:val="da-DK"/>
              </w:rPr>
              <w:t xml:space="preserve"> I)</w:t>
            </w:r>
            <w:r w:rsidRPr="002135DE">
              <w:rPr>
                <w:lang w:val="da-DK"/>
              </w:rPr>
              <w:br/>
            </w:r>
            <w:proofErr w:type="spellStart"/>
            <w:r w:rsidRPr="002135DE">
              <w:rPr>
                <w:lang w:val="da-DK"/>
              </w:rPr>
              <w:t>UFMs</w:t>
            </w:r>
            <w:proofErr w:type="spellEnd"/>
            <w:r w:rsidRPr="002135DE">
              <w:rPr>
                <w:lang w:val="da-DK"/>
              </w:rPr>
              <w:t xml:space="preserve"> F&amp;U udspil – forskningsreserve netop fastsat, usikker på yderligere dansk opfølgning – ellers har vi fokus på kommende dansk EU-</w:t>
            </w:r>
            <w:r w:rsidRPr="002135DE">
              <w:rPr>
                <w:lang w:val="da-DK"/>
              </w:rPr>
              <w:lastRenderedPageBreak/>
              <w:t>formandskab og EU Horizon fra 2027-2035</w:t>
            </w:r>
          </w:p>
        </w:tc>
        <w:tc>
          <w:tcPr>
            <w:tcW w:w="2410" w:type="dxa"/>
          </w:tcPr>
          <w:p w14:paraId="0F00F877" w14:textId="77777777" w:rsidR="000D72CD" w:rsidRPr="002135DE" w:rsidRDefault="000D72CD">
            <w:pPr>
              <w:rPr>
                <w:lang w:val="da-DK"/>
              </w:rPr>
            </w:pPr>
          </w:p>
        </w:tc>
      </w:tr>
      <w:tr w:rsidR="000D72CD" w:rsidRPr="002135DE" w14:paraId="647BF756" w14:textId="77777777" w:rsidTr="002135DE">
        <w:tc>
          <w:tcPr>
            <w:tcW w:w="1809" w:type="dxa"/>
          </w:tcPr>
          <w:p w14:paraId="035B7C2A" w14:textId="77777777" w:rsidR="000D72CD" w:rsidRDefault="00000000">
            <w:proofErr w:type="spellStart"/>
            <w:r>
              <w:lastRenderedPageBreak/>
              <w:t>Vedvarende</w:t>
            </w:r>
            <w:proofErr w:type="spellEnd"/>
            <w:r>
              <w:t xml:space="preserve"> Energi</w:t>
            </w:r>
          </w:p>
        </w:tc>
        <w:tc>
          <w:tcPr>
            <w:tcW w:w="2127" w:type="dxa"/>
          </w:tcPr>
          <w:p w14:paraId="67B7070F" w14:textId="77777777" w:rsidR="000D72CD" w:rsidRDefault="00000000">
            <w:r>
              <w:t>Carsten Chachah (offshore) &amp; Anders Storgaard (VE-land), Nina Rask Skotte (</w:t>
            </w:r>
            <w:proofErr w:type="spellStart"/>
            <w:r>
              <w:t>havnatur</w:t>
            </w:r>
            <w:proofErr w:type="spellEnd"/>
            <w:r>
              <w:t>) (Benedikte Fogh Larsen)</w:t>
            </w:r>
          </w:p>
        </w:tc>
        <w:tc>
          <w:tcPr>
            <w:tcW w:w="7229" w:type="dxa"/>
          </w:tcPr>
          <w:p w14:paraId="7396C64E" w14:textId="77777777" w:rsidR="000D72CD" w:rsidRPr="002135DE" w:rsidRDefault="00000000">
            <w:pPr>
              <w:rPr>
                <w:lang w:val="da-DK"/>
              </w:rPr>
            </w:pPr>
            <w:r w:rsidRPr="002135DE">
              <w:rPr>
                <w:lang w:val="da-DK"/>
              </w:rPr>
              <w:t>Overblik:</w:t>
            </w:r>
            <w:r w:rsidRPr="002135DE">
              <w:rPr>
                <w:lang w:val="da-DK"/>
              </w:rPr>
              <w:br/>
              <w:t>Gennemgang af sager relateret til bl.a. EØB, Grøn Trepart, sameksistens, arealanvendelse, energilagring mv.</w:t>
            </w:r>
            <w:r w:rsidRPr="002135DE">
              <w:rPr>
                <w:lang w:val="da-DK"/>
              </w:rPr>
              <w:br/>
              <w:t>VE-offshore:</w:t>
            </w:r>
            <w:r w:rsidRPr="002135DE">
              <w:rPr>
                <w:lang w:val="da-DK"/>
              </w:rPr>
              <w:br/>
            </w:r>
            <w:proofErr w:type="spellStart"/>
            <w:r w:rsidRPr="002135DE">
              <w:rPr>
                <w:lang w:val="da-DK"/>
              </w:rPr>
              <w:t>Energiø</w:t>
            </w:r>
            <w:proofErr w:type="spellEnd"/>
            <w:r w:rsidRPr="002135DE">
              <w:rPr>
                <w:lang w:val="da-DK"/>
              </w:rPr>
              <w:t xml:space="preserve"> Bornholm:</w:t>
            </w:r>
            <w:r w:rsidRPr="002135DE">
              <w:rPr>
                <w:lang w:val="da-DK"/>
              </w:rPr>
              <w:br/>
              <w:t xml:space="preserve">Vi arbejder på et 6-GW beredskab, som er en skuffeplan for, hvad der bør gøres, hvis 6-GW udbuddet ikke bliver en succes. Det kunne være en diskussion af, om der i tilfælde af meget få bud, skulle overvejes at genudbyde nogle af arealerne med mere attraktive vilkår (f.eks. </w:t>
            </w:r>
            <w:proofErr w:type="spellStart"/>
            <w:r w:rsidRPr="002135DE">
              <w:rPr>
                <w:lang w:val="da-DK"/>
              </w:rPr>
              <w:t>CfD</w:t>
            </w:r>
            <w:proofErr w:type="spellEnd"/>
            <w:r w:rsidRPr="002135DE">
              <w:rPr>
                <w:lang w:val="da-DK"/>
              </w:rPr>
              <w:t xml:space="preserve"> eller andet).</w:t>
            </w:r>
            <w:r w:rsidRPr="002135DE">
              <w:rPr>
                <w:lang w:val="da-DK"/>
              </w:rPr>
              <w:br/>
              <w:t>Havnaturfonden:</w:t>
            </w:r>
            <w:r w:rsidRPr="002135DE">
              <w:rPr>
                <w:lang w:val="da-DK"/>
              </w:rPr>
              <w:br/>
              <w:t>Skal skrives ind i loven, og Green Power Denmark er udpeget til at sidde i det rådgivende udvalg. Afdelingen tilrettelægger loven og svarer ved høringer.</w:t>
            </w:r>
            <w:r w:rsidRPr="002135DE">
              <w:rPr>
                <w:lang w:val="da-DK"/>
              </w:rPr>
              <w:br/>
              <w:t>Fiskeriforhandlinger:</w:t>
            </w:r>
            <w:r w:rsidRPr="002135DE">
              <w:rPr>
                <w:lang w:val="da-DK"/>
              </w:rPr>
              <w:br/>
              <w:t>Der sker ikke noget lige nu, den ansvarlige minister, Jacob Jensen, trækker sagen i langdrag. Mulig årsag: kommende kommunalvalg, og regeringspartierne har svært ved at komme med et oplæg om så svær en sag.</w:t>
            </w:r>
            <w:r w:rsidRPr="002135DE">
              <w:rPr>
                <w:lang w:val="da-DK"/>
              </w:rPr>
              <w:br/>
              <w:t>Fiskerierstatninger:</w:t>
            </w:r>
            <w:r w:rsidRPr="002135DE">
              <w:rPr>
                <w:lang w:val="da-DK"/>
              </w:rPr>
              <w:br/>
              <w:t xml:space="preserve">Markedsdrevet dialogforum har haft møder før sommerferien, og næste møde kommer i november med deltagelse af Benedikte og Nina fra Green Power Denmark i rum med fiskerne og DI. Fokus på kompensation for erhvervsfiskeri ved havvindmølleparker. Problemer med den rødtoppede </w:t>
            </w:r>
            <w:proofErr w:type="spellStart"/>
            <w:r w:rsidRPr="002135DE">
              <w:rPr>
                <w:lang w:val="da-DK"/>
              </w:rPr>
              <w:t>lóm</w:t>
            </w:r>
            <w:proofErr w:type="spellEnd"/>
            <w:r w:rsidRPr="002135DE">
              <w:rPr>
                <w:lang w:val="da-DK"/>
              </w:rPr>
              <w:t xml:space="preserve"> ved den sydlige Nordsø-havvindmøllepark kan kompensere ved at indskrænke erhvervsfiskeri. Green Power Denmark forsøger at sikre en god ramme for fiskere.</w:t>
            </w:r>
            <w:r w:rsidRPr="002135DE">
              <w:rPr>
                <w:lang w:val="da-DK"/>
              </w:rPr>
              <w:br/>
              <w:t>Marine Naturnationalparker:</w:t>
            </w:r>
            <w:r w:rsidRPr="002135DE">
              <w:rPr>
                <w:lang w:val="da-DK"/>
              </w:rPr>
              <w:br/>
              <w:t xml:space="preserve">Forhandlinger om to marine naturnationalparker i Lillebælt og Øresund. Afdelingen har talt med ENS om, at der ikke vil være problemer for havvindsudviklere med projekter i nærområdet til de marine parker. HOFOR spørger om indflydelse på Aflandshage. Parkerne får ikke særlig </w:t>
            </w:r>
            <w:r w:rsidRPr="002135DE">
              <w:rPr>
                <w:lang w:val="da-DK"/>
              </w:rPr>
              <w:lastRenderedPageBreak/>
              <w:t>beskyttelse og indskrives ikke i havplanen. Det handler grundlæggende om at lægge stenrev ud i parkerne. Afdelingen ønsker mere information om processen for forhandlingerne, da der kan ske ændringer. Der har været et forhandlingsmøde for miljøordførere i forligskredsen til aftalen (finanslov 2022), men tidspunkt og indhold af kommende møder er ukendt.</w:t>
            </w:r>
            <w:r w:rsidRPr="002135DE">
              <w:rPr>
                <w:lang w:val="da-DK"/>
              </w:rPr>
              <w:br/>
              <w:t>VE-land:</w:t>
            </w:r>
            <w:r w:rsidRPr="002135DE">
              <w:rPr>
                <w:lang w:val="da-DK"/>
              </w:rPr>
              <w:br/>
              <w:t>Grøn Trepart forhandlinger:</w:t>
            </w:r>
            <w:r w:rsidRPr="002135DE">
              <w:rPr>
                <w:lang w:val="da-DK"/>
              </w:rPr>
              <w:br/>
              <w:t>Følges tæt af PA, og input på VE-siden er givet til regering og udvalgte partier.</w:t>
            </w:r>
            <w:r w:rsidRPr="002135DE">
              <w:rPr>
                <w:lang w:val="da-DK"/>
              </w:rPr>
              <w:br/>
              <w:t>KEF-pulje:</w:t>
            </w:r>
            <w:r w:rsidRPr="002135DE">
              <w:rPr>
                <w:lang w:val="da-DK"/>
              </w:rPr>
              <w:br/>
              <w:t xml:space="preserve">Puljen er primært rettet mod tagbaserede solceller, hvilket gør den mindre relevant for Green Power Denmark. Afdelingen ønsker, at midler også kunne anvendes til innovationsprojekter som solceller på </w:t>
            </w:r>
            <w:proofErr w:type="spellStart"/>
            <w:r w:rsidRPr="002135DE">
              <w:rPr>
                <w:lang w:val="da-DK"/>
              </w:rPr>
              <w:t>vådlagt</w:t>
            </w:r>
            <w:proofErr w:type="spellEnd"/>
            <w:r w:rsidRPr="002135DE">
              <w:rPr>
                <w:lang w:val="da-DK"/>
              </w:rPr>
              <w:t xml:space="preserve"> landbrugsjord, men argumentet har ikke fundet genklang, da EL fokuserer på tage og motorveje.</w:t>
            </w:r>
            <w:r w:rsidRPr="002135DE">
              <w:rPr>
                <w:lang w:val="da-DK"/>
              </w:rPr>
              <w:br/>
              <w:t>Turismestrategi:</w:t>
            </w:r>
            <w:r w:rsidRPr="002135DE">
              <w:rPr>
                <w:lang w:val="da-DK"/>
              </w:rPr>
              <w:br/>
              <w:t xml:space="preserve">De 200 mio. kr. på finansloven skal understøtte VE-kommuner. Afdelingen arbejder for, at tilskud baseres på både historisk og ny kapacitet i </w:t>
            </w:r>
            <w:proofErr w:type="spellStart"/>
            <w:r w:rsidRPr="002135DE">
              <w:rPr>
                <w:lang w:val="da-DK"/>
              </w:rPr>
              <w:t>nettilsluttede</w:t>
            </w:r>
            <w:proofErr w:type="spellEnd"/>
            <w:r w:rsidRPr="002135DE">
              <w:rPr>
                <w:lang w:val="da-DK"/>
              </w:rPr>
              <w:t xml:space="preserve"> anlæg for at sikre bæredygtig udvikling i lokalsamfundene.</w:t>
            </w:r>
            <w:r w:rsidRPr="002135DE">
              <w:rPr>
                <w:lang w:val="da-DK"/>
              </w:rPr>
              <w:br/>
              <w:t>NEKST-anbefalinger:</w:t>
            </w:r>
            <w:r w:rsidRPr="002135DE">
              <w:rPr>
                <w:lang w:val="da-DK"/>
              </w:rPr>
              <w:br/>
              <w:t xml:space="preserve">Der er fokus på at ændre leveringspligten og skabe mulighed for at tilbyde naboer el med rabat eller gratis. Afdelingen ønsker, at VE-opstillere kan udlicitere dette ansvar til etablerede </w:t>
            </w:r>
            <w:proofErr w:type="spellStart"/>
            <w:r w:rsidRPr="002135DE">
              <w:rPr>
                <w:lang w:val="da-DK"/>
              </w:rPr>
              <w:t>elleverandører</w:t>
            </w:r>
            <w:proofErr w:type="spellEnd"/>
            <w:r w:rsidRPr="002135DE">
              <w:rPr>
                <w:lang w:val="da-DK"/>
              </w:rPr>
              <w:t>. Andre anbefalinger inkluderer en national pulje til naturbeskyttelse og styrket VE-rejsehold.</w:t>
            </w:r>
            <w:r w:rsidRPr="002135DE">
              <w:rPr>
                <w:lang w:val="da-DK"/>
              </w:rPr>
              <w:br/>
              <w:t>Beskatningsmodel:</w:t>
            </w:r>
            <w:r w:rsidRPr="002135DE">
              <w:rPr>
                <w:lang w:val="da-DK"/>
              </w:rPr>
              <w:br/>
              <w:t>Sammen med DE, D&amp;LF og DSR er der indgivet høringssvar for at sikre, at ændringer til beskatningen af jord under VE er provenu-neutrale og ikke øger omkostningerne for VE-opstillere. PA-indsats forventes, når modellen når det politiske niveau.</w:t>
            </w:r>
            <w:r w:rsidRPr="002135DE">
              <w:rPr>
                <w:lang w:val="da-DK"/>
              </w:rPr>
              <w:br/>
              <w:t>Tønder Kommune:</w:t>
            </w:r>
            <w:r w:rsidRPr="002135DE">
              <w:rPr>
                <w:lang w:val="da-DK"/>
              </w:rPr>
              <w:br/>
              <w:t xml:space="preserve">Ekstra materiale er indsendt til Ankestyrelsen vedrørende kommunale særregler. Afdelingen forventer vejledninger til kommunerne om lovlige </w:t>
            </w:r>
            <w:r w:rsidRPr="002135DE">
              <w:rPr>
                <w:lang w:val="da-DK"/>
              </w:rPr>
              <w:lastRenderedPageBreak/>
              <w:t>forhold for at minimere unødige hindringer for VE-projekter.</w:t>
            </w:r>
            <w:r w:rsidRPr="002135DE">
              <w:rPr>
                <w:lang w:val="da-DK"/>
              </w:rPr>
              <w:br/>
              <w:t>Forsvarets arealer:</w:t>
            </w:r>
            <w:r w:rsidRPr="002135DE">
              <w:rPr>
                <w:lang w:val="da-DK"/>
              </w:rPr>
              <w:br/>
              <w:t>Forsvarets sene reservationer af arealer har påvirket VE-planlægning, især i Esbjerg, Tønder og Brønderslev. Afdelingen arbejder på at fremme en dialog og større åbenhed, så VE-opstillere kan forudse Forsvarets behov. Etablering af flykorridorer foreslås som en alternativ løsning til store veto-arealer.</w:t>
            </w:r>
            <w:r w:rsidRPr="002135DE">
              <w:rPr>
                <w:lang w:val="da-DK"/>
              </w:rPr>
              <w:br/>
              <w:t>Batterier i landzone:</w:t>
            </w:r>
            <w:r w:rsidRPr="002135DE">
              <w:rPr>
                <w:lang w:val="da-DK"/>
              </w:rPr>
              <w:br/>
              <w:t xml:space="preserve">Planloven kræver batterianlæg i byzoner, hvilket begrænser mulighederne for energilagring sammen med VE-parker. Afdelingen arbejder sammen med Energistyrelsen og Planklagenævnet for at skabe et fortolkningsrum, der tillader batterianlæg uden hindringer. Flere kommuner, som Faxe, har allerede afvist batterianlæg i landzonen. Der er en bredere indsats for at sikre, at planlov og brandregler tilpasses for at fremme batterier som en stabiliserende faktor i </w:t>
            </w:r>
            <w:proofErr w:type="spellStart"/>
            <w:r w:rsidRPr="002135DE">
              <w:rPr>
                <w:lang w:val="da-DK"/>
              </w:rPr>
              <w:t>elsystemet</w:t>
            </w:r>
            <w:proofErr w:type="spellEnd"/>
            <w:r w:rsidRPr="002135DE">
              <w:rPr>
                <w:lang w:val="da-DK"/>
              </w:rPr>
              <w:t>.</w:t>
            </w:r>
          </w:p>
        </w:tc>
        <w:tc>
          <w:tcPr>
            <w:tcW w:w="2410" w:type="dxa"/>
          </w:tcPr>
          <w:p w14:paraId="7A4281D6" w14:textId="77777777" w:rsidR="000D72CD" w:rsidRPr="002135DE" w:rsidRDefault="000D72CD">
            <w:pPr>
              <w:rPr>
                <w:lang w:val="da-DK"/>
              </w:rPr>
            </w:pPr>
          </w:p>
        </w:tc>
      </w:tr>
      <w:tr w:rsidR="000D72CD" w14:paraId="78DE783A" w14:textId="77777777" w:rsidTr="002135DE">
        <w:tc>
          <w:tcPr>
            <w:tcW w:w="1809" w:type="dxa"/>
          </w:tcPr>
          <w:p w14:paraId="02CC7D2E" w14:textId="77777777" w:rsidR="000D72CD" w:rsidRDefault="00000000">
            <w:r>
              <w:lastRenderedPageBreak/>
              <w:t>Public Affairs, EU og Presse</w:t>
            </w:r>
          </w:p>
        </w:tc>
        <w:tc>
          <w:tcPr>
            <w:tcW w:w="2127" w:type="dxa"/>
          </w:tcPr>
          <w:p w14:paraId="79EB0681" w14:textId="77777777" w:rsidR="000D72CD" w:rsidRPr="002135DE" w:rsidRDefault="00000000">
            <w:pPr>
              <w:rPr>
                <w:lang w:val="da-DK"/>
              </w:rPr>
            </w:pPr>
            <w:r w:rsidRPr="002135DE">
              <w:rPr>
                <w:lang w:val="da-DK"/>
              </w:rPr>
              <w:t xml:space="preserve">Jacob Klivager &amp; Ole </w:t>
            </w:r>
            <w:proofErr w:type="spellStart"/>
            <w:r w:rsidRPr="002135DE">
              <w:rPr>
                <w:lang w:val="da-DK"/>
              </w:rPr>
              <w:t>Ryddahl</w:t>
            </w:r>
            <w:proofErr w:type="spellEnd"/>
            <w:r w:rsidRPr="002135DE">
              <w:rPr>
                <w:lang w:val="da-DK"/>
              </w:rPr>
              <w:t xml:space="preserve"> Svensson)</w:t>
            </w:r>
          </w:p>
        </w:tc>
        <w:tc>
          <w:tcPr>
            <w:tcW w:w="7229" w:type="dxa"/>
          </w:tcPr>
          <w:p w14:paraId="486576EE" w14:textId="77777777" w:rsidR="000D72CD" w:rsidRDefault="00000000">
            <w:r>
              <w:t>Public Affairs Danmark</w:t>
            </w:r>
            <w:r>
              <w:br/>
              <w:t>EU</w:t>
            </w:r>
          </w:p>
        </w:tc>
        <w:tc>
          <w:tcPr>
            <w:tcW w:w="2410" w:type="dxa"/>
          </w:tcPr>
          <w:p w14:paraId="779060CC" w14:textId="77777777" w:rsidR="000D72CD" w:rsidRDefault="000D72CD"/>
        </w:tc>
      </w:tr>
      <w:tr w:rsidR="000D72CD" w:rsidRPr="002135DE" w14:paraId="09BB2D9F" w14:textId="77777777" w:rsidTr="002135DE">
        <w:tc>
          <w:tcPr>
            <w:tcW w:w="1809" w:type="dxa"/>
          </w:tcPr>
          <w:p w14:paraId="09B74EAC" w14:textId="77777777" w:rsidR="000D72CD" w:rsidRDefault="00000000">
            <w:proofErr w:type="spellStart"/>
            <w:r>
              <w:t>Analyse</w:t>
            </w:r>
            <w:proofErr w:type="spellEnd"/>
            <w:r>
              <w:t xml:space="preserve"> &amp; </w:t>
            </w:r>
            <w:proofErr w:type="spellStart"/>
            <w:r>
              <w:t>Økonomi</w:t>
            </w:r>
            <w:proofErr w:type="spellEnd"/>
          </w:p>
        </w:tc>
        <w:tc>
          <w:tcPr>
            <w:tcW w:w="2127" w:type="dxa"/>
          </w:tcPr>
          <w:p w14:paraId="5851CADD" w14:textId="77777777" w:rsidR="000D72CD" w:rsidRPr="002135DE" w:rsidRDefault="00000000">
            <w:pPr>
              <w:rPr>
                <w:lang w:val="da-DK"/>
              </w:rPr>
            </w:pPr>
            <w:r w:rsidRPr="002135DE">
              <w:rPr>
                <w:lang w:val="da-DK"/>
              </w:rPr>
              <w:t>Martin Ingerslev (Marie Holm Thomsen)</w:t>
            </w:r>
          </w:p>
        </w:tc>
        <w:tc>
          <w:tcPr>
            <w:tcW w:w="7229" w:type="dxa"/>
          </w:tcPr>
          <w:p w14:paraId="54E06AD5" w14:textId="77777777" w:rsidR="000D72CD" w:rsidRPr="002135DE" w:rsidRDefault="00000000">
            <w:pPr>
              <w:rPr>
                <w:lang w:val="da-DK"/>
              </w:rPr>
            </w:pPr>
            <w:r w:rsidRPr="002135DE">
              <w:rPr>
                <w:lang w:val="da-DK"/>
              </w:rPr>
              <w:t>Overblik:</w:t>
            </w:r>
            <w:r w:rsidRPr="002135DE">
              <w:rPr>
                <w:lang w:val="da-DK"/>
              </w:rPr>
              <w:br/>
              <w:t>Ingen større politiske initiativer.</w:t>
            </w:r>
            <w:r w:rsidRPr="002135DE">
              <w:rPr>
                <w:lang w:val="da-DK"/>
              </w:rPr>
              <w:br/>
              <w:t>Martin og Marie har ikke store politiske initiativer på radaren for efteråret. De følger</w:t>
            </w:r>
            <w:r w:rsidRPr="002135DE">
              <w:rPr>
                <w:lang w:val="da-DK"/>
              </w:rPr>
              <w:br/>
              <w:t>finansloven</w:t>
            </w:r>
            <w:r w:rsidRPr="002135DE">
              <w:rPr>
                <w:lang w:val="da-DK"/>
              </w:rPr>
              <w:br/>
              <w:t>og</w:t>
            </w:r>
            <w:r w:rsidRPr="002135DE">
              <w:rPr>
                <w:lang w:val="da-DK"/>
              </w:rPr>
              <w:br/>
              <w:t>biogasudbuddene</w:t>
            </w:r>
            <w:r w:rsidRPr="002135DE">
              <w:rPr>
                <w:lang w:val="da-DK"/>
              </w:rPr>
              <w:br/>
              <w:t>(de udkommer med et Brint Outlook forventeligt i december), og de er klar til at bistå internt ved behov. De arbejder også med</w:t>
            </w:r>
            <w:r w:rsidRPr="002135DE">
              <w:rPr>
                <w:lang w:val="da-DK"/>
              </w:rPr>
              <w:br/>
              <w:t>klimaloven</w:t>
            </w:r>
            <w:r w:rsidRPr="002135DE">
              <w:rPr>
                <w:lang w:val="da-DK"/>
              </w:rPr>
              <w:br/>
              <w:t>i forbindelse med et</w:t>
            </w:r>
            <w:r w:rsidRPr="002135DE">
              <w:rPr>
                <w:lang w:val="da-DK"/>
              </w:rPr>
              <w:br/>
              <w:t>A-projekt</w:t>
            </w:r>
            <w:r w:rsidRPr="002135DE">
              <w:rPr>
                <w:lang w:val="da-DK"/>
              </w:rPr>
              <w:br/>
              <w:t>.</w:t>
            </w:r>
          </w:p>
        </w:tc>
        <w:tc>
          <w:tcPr>
            <w:tcW w:w="2410" w:type="dxa"/>
          </w:tcPr>
          <w:p w14:paraId="406F5275" w14:textId="77777777" w:rsidR="000D72CD" w:rsidRPr="002135DE" w:rsidRDefault="000D72CD">
            <w:pPr>
              <w:rPr>
                <w:lang w:val="da-DK"/>
              </w:rPr>
            </w:pPr>
          </w:p>
        </w:tc>
      </w:tr>
      <w:tr w:rsidR="000D72CD" w:rsidRPr="002135DE" w14:paraId="7B5BE7A9" w14:textId="77777777" w:rsidTr="002135DE">
        <w:tc>
          <w:tcPr>
            <w:tcW w:w="1809" w:type="dxa"/>
          </w:tcPr>
          <w:p w14:paraId="6CD1DB71" w14:textId="77777777" w:rsidR="000D72CD" w:rsidRDefault="00000000">
            <w:r>
              <w:t xml:space="preserve">Industri, Innovation og </w:t>
            </w:r>
            <w:proofErr w:type="spellStart"/>
            <w:r>
              <w:t>Klimapolitik</w:t>
            </w:r>
            <w:proofErr w:type="spellEnd"/>
          </w:p>
        </w:tc>
        <w:tc>
          <w:tcPr>
            <w:tcW w:w="2127" w:type="dxa"/>
          </w:tcPr>
          <w:p w14:paraId="49DC5E1C" w14:textId="77777777" w:rsidR="000D72CD" w:rsidRPr="002135DE" w:rsidRDefault="00000000">
            <w:pPr>
              <w:rPr>
                <w:lang w:val="da-DK"/>
              </w:rPr>
            </w:pPr>
            <w:r w:rsidRPr="002135DE">
              <w:rPr>
                <w:lang w:val="da-DK"/>
              </w:rPr>
              <w:t>Lea Wichmand &amp; Kalle Lind Skipper</w:t>
            </w:r>
          </w:p>
        </w:tc>
        <w:tc>
          <w:tcPr>
            <w:tcW w:w="7229" w:type="dxa"/>
          </w:tcPr>
          <w:p w14:paraId="26132CEB" w14:textId="77777777" w:rsidR="000D72CD" w:rsidRPr="002135DE" w:rsidRDefault="00000000">
            <w:pPr>
              <w:rPr>
                <w:lang w:val="da-DK"/>
              </w:rPr>
            </w:pPr>
            <w:r w:rsidRPr="002135DE">
              <w:rPr>
                <w:lang w:val="da-DK"/>
              </w:rPr>
              <w:t>Overblik:</w:t>
            </w:r>
            <w:r w:rsidRPr="002135DE">
              <w:rPr>
                <w:lang w:val="da-DK"/>
              </w:rPr>
              <w:br/>
              <w:t>Fokus på bl.a. forskningsreserve og kommende udspil.</w:t>
            </w:r>
            <w:r w:rsidRPr="002135DE">
              <w:rPr>
                <w:lang w:val="da-DK"/>
              </w:rPr>
              <w:br/>
              <w:t>Investeringsscreeningsloven:</w:t>
            </w:r>
            <w:r w:rsidRPr="002135DE">
              <w:rPr>
                <w:lang w:val="da-DK"/>
              </w:rPr>
              <w:br/>
            </w:r>
            <w:r w:rsidRPr="002135DE">
              <w:rPr>
                <w:lang w:val="da-DK"/>
              </w:rPr>
              <w:lastRenderedPageBreak/>
              <w:t>Afdelingen er skuffet over, at revideringen af investeringsscreeningsloven ikke er medtaget i lovprogrammet for 2024/25, trods tidligere forventninger om et lovforslag i efteråret. Lea Bigom Wichmand arbejder på at etablere kontakt med den nye teamleder i Erhvervsstyrelsens FDI-Team for at få yderligere information og undersøge fremtidige muligheder for fremme af Green Power Denmarks interesser.</w:t>
            </w:r>
            <w:r w:rsidRPr="002135DE">
              <w:rPr>
                <w:lang w:val="da-DK"/>
              </w:rPr>
              <w:br/>
              <w:t>Lov om One-Stop-Shop og industriparker:</w:t>
            </w:r>
            <w:r w:rsidRPr="002135DE">
              <w:rPr>
                <w:lang w:val="da-DK"/>
              </w:rPr>
              <w:br/>
              <w:t>Erhvervsministeriets planlagte lov om One-Stop-Shop for produktionsvirksomheder og statslig udpegning af industriparker (</w:t>
            </w:r>
            <w:proofErr w:type="spellStart"/>
            <w:r w:rsidRPr="002135DE">
              <w:rPr>
                <w:lang w:val="da-DK"/>
              </w:rPr>
              <w:t>Feb</w:t>
            </w:r>
            <w:proofErr w:type="spellEnd"/>
            <w:r w:rsidRPr="002135DE">
              <w:rPr>
                <w:lang w:val="da-DK"/>
              </w:rPr>
              <w:t xml:space="preserve"> II) vurderes som relevant for Green Power Denmark. Afdelingen følger udviklingen tæt for at identificere muligheder for indflydelse.</w:t>
            </w:r>
            <w:r w:rsidRPr="002135DE">
              <w:rPr>
                <w:lang w:val="da-DK"/>
              </w:rPr>
              <w:br/>
              <w:t>Testcenterinitiativ:</w:t>
            </w:r>
            <w:r w:rsidRPr="002135DE">
              <w:rPr>
                <w:lang w:val="da-DK"/>
              </w:rPr>
              <w:br/>
              <w:t>Der kan opstå et nyt initiativ omkring testcentre, hvor formålet er at skabe muligheder for de lokale. Dette er stadig under udvikling, og PA-involvering er ikke nødvendig i den tidlige fase.</w:t>
            </w:r>
            <w:r w:rsidRPr="002135DE">
              <w:rPr>
                <w:lang w:val="da-DK"/>
              </w:rPr>
              <w:br/>
              <w:t>Modregning af EU-midler i forskningsreserven:</w:t>
            </w:r>
            <w:r w:rsidRPr="002135DE">
              <w:rPr>
                <w:lang w:val="da-DK"/>
              </w:rPr>
              <w:br/>
              <w:t>Der er fortsat usikkerhed om modregningen af hjemtagne EU-midler i forskningsreserven, særligt de 3,5 mia. kr. som danske virksomheder har hentet fra EU Innovation Fund. Afdelingen vurderer, at en mere aggressiv tilgang kan være nødvendig for at sikre, at disse midler ikke modregnes. Dette område kræver styrkede alliancer og strategiske indsatser i de kommende måneder.</w:t>
            </w:r>
            <w:r w:rsidRPr="002135DE">
              <w:rPr>
                <w:lang w:val="da-DK"/>
              </w:rPr>
              <w:br/>
              <w:t>Kommende initiativer fra afdelingen:</w:t>
            </w:r>
            <w:r w:rsidRPr="002135DE">
              <w:rPr>
                <w:lang w:val="da-DK"/>
              </w:rPr>
              <w:br/>
              <w:t>Afdelingen planlægger at offentliggøre to udspil i januar 2025:</w:t>
            </w:r>
            <w:r w:rsidRPr="002135DE">
              <w:rPr>
                <w:lang w:val="da-DK"/>
              </w:rPr>
              <w:br/>
              <w:t>Innovationsudspillet:</w:t>
            </w:r>
            <w:r w:rsidRPr="002135DE">
              <w:rPr>
                <w:lang w:val="da-DK"/>
              </w:rPr>
              <w:br/>
              <w:t>Fokuserer på forskning og innovation med det formål at bevare Danmarks førerposition i den grønne omstilling. Der vil være særligt fokus på finansiering, talentudvikling og opbygning af testfaciliteter.</w:t>
            </w:r>
            <w:r w:rsidRPr="002135DE">
              <w:rPr>
                <w:lang w:val="da-DK"/>
              </w:rPr>
              <w:br/>
              <w:t>Industriudspillet:</w:t>
            </w:r>
            <w:r w:rsidRPr="002135DE">
              <w:rPr>
                <w:lang w:val="da-DK"/>
              </w:rPr>
              <w:br/>
              <w:t>Understøtter udviklingen af en konkurrencedygtig grøn industri både i Danmark og EU. Hovedvægten ligger på grøn vækst og alignment med politiske mål. Innovationsudspillet offentliggøres først, da det danner grundlag for dele af Industriudspillet.</w:t>
            </w:r>
          </w:p>
        </w:tc>
        <w:tc>
          <w:tcPr>
            <w:tcW w:w="2410" w:type="dxa"/>
          </w:tcPr>
          <w:p w14:paraId="48AEF78E" w14:textId="77777777" w:rsidR="000D72CD" w:rsidRPr="002135DE" w:rsidRDefault="000D72CD">
            <w:pPr>
              <w:rPr>
                <w:lang w:val="da-DK"/>
              </w:rPr>
            </w:pPr>
          </w:p>
        </w:tc>
      </w:tr>
      <w:tr w:rsidR="000D72CD" w:rsidRPr="002135DE" w14:paraId="724845E1" w14:textId="77777777" w:rsidTr="002135DE">
        <w:tc>
          <w:tcPr>
            <w:tcW w:w="1809" w:type="dxa"/>
          </w:tcPr>
          <w:p w14:paraId="0FD33FE0" w14:textId="77777777" w:rsidR="000D72CD" w:rsidRDefault="00000000">
            <w:proofErr w:type="spellStart"/>
            <w:r>
              <w:lastRenderedPageBreak/>
              <w:t>PtX</w:t>
            </w:r>
            <w:proofErr w:type="spellEnd"/>
            <w:r>
              <w:t xml:space="preserve"> (Power-to-X)</w:t>
            </w:r>
          </w:p>
        </w:tc>
        <w:tc>
          <w:tcPr>
            <w:tcW w:w="2127" w:type="dxa"/>
          </w:tcPr>
          <w:p w14:paraId="3646230E" w14:textId="77777777" w:rsidR="000D72CD" w:rsidRDefault="00000000">
            <w:r>
              <w:t>Michael Madsen</w:t>
            </w:r>
          </w:p>
        </w:tc>
        <w:tc>
          <w:tcPr>
            <w:tcW w:w="7229" w:type="dxa"/>
          </w:tcPr>
          <w:p w14:paraId="3BBBB025" w14:textId="77777777" w:rsidR="000D72CD" w:rsidRPr="002135DE" w:rsidRDefault="00000000">
            <w:pPr>
              <w:rPr>
                <w:lang w:val="da-DK"/>
              </w:rPr>
            </w:pPr>
            <w:r w:rsidRPr="002135DE">
              <w:rPr>
                <w:lang w:val="da-DK"/>
              </w:rPr>
              <w:t>Overblik:</w:t>
            </w:r>
            <w:r w:rsidRPr="002135DE">
              <w:rPr>
                <w:lang w:val="da-DK"/>
              </w:rPr>
              <w:br/>
              <w:t>Fokus på bl.a. brintrør og grøn luftfart.</w:t>
            </w:r>
            <w:r w:rsidRPr="002135DE">
              <w:rPr>
                <w:lang w:val="da-DK"/>
              </w:rPr>
              <w:br/>
              <w:t>Brintrør:</w:t>
            </w:r>
            <w:r w:rsidRPr="002135DE">
              <w:rPr>
                <w:lang w:val="da-DK"/>
              </w:rPr>
              <w:br/>
              <w:t>Arbejdet forløber som forventet, selvom resultatet umiddelbart ikke er ideelt. Der har været tæt koordinering med PA gennem hele forløbet.</w:t>
            </w:r>
            <w:r w:rsidRPr="002135DE">
              <w:rPr>
                <w:lang w:val="da-DK"/>
              </w:rPr>
              <w:br/>
              <w:t>Regeringens lovprogram:</w:t>
            </w:r>
            <w:r w:rsidRPr="002135DE">
              <w:rPr>
                <w:lang w:val="da-DK"/>
              </w:rPr>
              <w:br/>
              <w:t>Ændring af VE-loven m.fl. (</w:t>
            </w:r>
            <w:proofErr w:type="spellStart"/>
            <w:r w:rsidRPr="002135DE">
              <w:rPr>
                <w:lang w:val="da-DK"/>
              </w:rPr>
              <w:t>Okt</w:t>
            </w:r>
            <w:proofErr w:type="spellEnd"/>
            <w:r w:rsidRPr="002135DE">
              <w:rPr>
                <w:lang w:val="da-DK"/>
              </w:rPr>
              <w:t xml:space="preserve"> II):</w:t>
            </w:r>
            <w:r w:rsidRPr="002135DE">
              <w:rPr>
                <w:lang w:val="da-DK"/>
              </w:rPr>
              <w:br/>
              <w:t>Har indsendt høringssvar. Kritiserer regeringens plan om at opfylde 2025-kravet ved at injicere biogas i gassystemet og anbefaler i stedet at fremme teknologier, der reelt omstiller transportsektoren.</w:t>
            </w:r>
            <w:r w:rsidRPr="002135DE">
              <w:rPr>
                <w:lang w:val="da-DK"/>
              </w:rPr>
              <w:br/>
              <w:t>Lov om forsyning med teknisk vand (</w:t>
            </w:r>
            <w:proofErr w:type="spellStart"/>
            <w:r w:rsidRPr="002135DE">
              <w:rPr>
                <w:lang w:val="da-DK"/>
              </w:rPr>
              <w:t>Feb</w:t>
            </w:r>
            <w:proofErr w:type="spellEnd"/>
            <w:r w:rsidRPr="002135DE">
              <w:rPr>
                <w:lang w:val="da-DK"/>
              </w:rPr>
              <w:t xml:space="preserve"> II):</w:t>
            </w:r>
            <w:r w:rsidRPr="002135DE">
              <w:rPr>
                <w:lang w:val="da-DK"/>
              </w:rPr>
              <w:br/>
              <w:t xml:space="preserve">Positiv over for udkastet, da det løser organisatoriske udfordringer for vandforsyning til </w:t>
            </w:r>
            <w:proofErr w:type="spellStart"/>
            <w:r w:rsidRPr="002135DE">
              <w:rPr>
                <w:lang w:val="da-DK"/>
              </w:rPr>
              <w:t>PtX</w:t>
            </w:r>
            <w:proofErr w:type="spellEnd"/>
            <w:r w:rsidRPr="002135DE">
              <w:rPr>
                <w:lang w:val="da-DK"/>
              </w:rPr>
              <w:t>. Gør det muligt at oprette tekniske vandselskaber uden monopolregulering. Løser dog ikke miljøregler eller tilladelser vedrørende spildevand.</w:t>
            </w:r>
            <w:r w:rsidRPr="002135DE">
              <w:rPr>
                <w:lang w:val="da-DK"/>
              </w:rPr>
              <w:br/>
              <w:t>Grøn omstilling af luftfarten:</w:t>
            </w:r>
            <w:r w:rsidRPr="002135DE">
              <w:rPr>
                <w:lang w:val="da-DK"/>
              </w:rPr>
              <w:br/>
              <w:t>En grøn rute i 2025:</w:t>
            </w:r>
            <w:r w:rsidRPr="002135DE">
              <w:rPr>
                <w:lang w:val="da-DK"/>
              </w:rPr>
              <w:br/>
              <w:t>Forventer, at ruten bliver droppet på grund af kritik.</w:t>
            </w:r>
            <w:r w:rsidRPr="002135DE">
              <w:rPr>
                <w:lang w:val="da-DK"/>
              </w:rPr>
              <w:br/>
              <w:t>100% grøn indenrigsluftfart i 2030:</w:t>
            </w:r>
            <w:r w:rsidRPr="002135DE">
              <w:rPr>
                <w:lang w:val="da-DK"/>
              </w:rPr>
              <w:br/>
              <w:t>Energistyrelsen arbejder på udmøntning; forventer forslag til regeringen inden årets udgang. Har inviteret til dialogmøde den 30. oktober.</w:t>
            </w:r>
            <w:r w:rsidRPr="002135DE">
              <w:rPr>
                <w:lang w:val="da-DK"/>
              </w:rPr>
              <w:br/>
              <w:t>Generel omstilling af luftfarten:</w:t>
            </w:r>
            <w:r w:rsidRPr="002135DE">
              <w:rPr>
                <w:lang w:val="da-DK"/>
              </w:rPr>
              <w:br/>
              <w:t>Ønsker, at midlerne går til dansk produktion af e-SAF via auktionsmekanismer. Har delt materiale med Energistyrelsen og deltager i kommende dialogmøde.</w:t>
            </w:r>
            <w:r w:rsidRPr="002135DE">
              <w:rPr>
                <w:lang w:val="da-DK"/>
              </w:rPr>
              <w:br/>
              <w:t>Pyrolysestrategi:</w:t>
            </w:r>
            <w:r w:rsidRPr="002135DE">
              <w:rPr>
                <w:lang w:val="da-DK"/>
              </w:rPr>
              <w:br/>
              <w:t xml:space="preserve">Følger strategien nøje, da den kan påvirke </w:t>
            </w:r>
            <w:proofErr w:type="spellStart"/>
            <w:r w:rsidRPr="002135DE">
              <w:rPr>
                <w:lang w:val="da-DK"/>
              </w:rPr>
              <w:t>PtX</w:t>
            </w:r>
            <w:proofErr w:type="spellEnd"/>
            <w:r w:rsidRPr="002135DE">
              <w:rPr>
                <w:lang w:val="da-DK"/>
              </w:rPr>
              <w:t xml:space="preserve">-sektoren, især i forhold til brændstoffer som metanol og </w:t>
            </w:r>
            <w:proofErr w:type="spellStart"/>
            <w:r w:rsidRPr="002135DE">
              <w:rPr>
                <w:lang w:val="da-DK"/>
              </w:rPr>
              <w:t>jetfuel</w:t>
            </w:r>
            <w:proofErr w:type="spellEnd"/>
            <w:r w:rsidRPr="002135DE">
              <w:rPr>
                <w:lang w:val="da-DK"/>
              </w:rPr>
              <w:t xml:space="preserve">. Der er samspil mellem pyrolyse og </w:t>
            </w:r>
            <w:proofErr w:type="spellStart"/>
            <w:r w:rsidRPr="002135DE">
              <w:rPr>
                <w:lang w:val="da-DK"/>
              </w:rPr>
              <w:t>PtX</w:t>
            </w:r>
            <w:proofErr w:type="spellEnd"/>
            <w:r w:rsidRPr="002135DE">
              <w:rPr>
                <w:lang w:val="da-DK"/>
              </w:rPr>
              <w:t xml:space="preserve"> ved at tilsætte brint til pyrolysegas.</w:t>
            </w:r>
          </w:p>
        </w:tc>
        <w:tc>
          <w:tcPr>
            <w:tcW w:w="2410" w:type="dxa"/>
          </w:tcPr>
          <w:p w14:paraId="2A615009" w14:textId="77777777" w:rsidR="000D72CD" w:rsidRPr="002135DE" w:rsidRDefault="000D72CD">
            <w:pPr>
              <w:rPr>
                <w:lang w:val="da-DK"/>
              </w:rPr>
            </w:pPr>
          </w:p>
        </w:tc>
      </w:tr>
      <w:tr w:rsidR="000D72CD" w:rsidRPr="002135DE" w14:paraId="6EAC6168" w14:textId="77777777" w:rsidTr="002135DE">
        <w:tc>
          <w:tcPr>
            <w:tcW w:w="1809" w:type="dxa"/>
          </w:tcPr>
          <w:p w14:paraId="59ADB60F" w14:textId="77777777" w:rsidR="000D72CD" w:rsidRDefault="00000000">
            <w:proofErr w:type="spellStart"/>
            <w:r>
              <w:t>Netøkonomi</w:t>
            </w:r>
            <w:proofErr w:type="spellEnd"/>
          </w:p>
        </w:tc>
        <w:tc>
          <w:tcPr>
            <w:tcW w:w="2127" w:type="dxa"/>
          </w:tcPr>
          <w:p w14:paraId="782E37E2" w14:textId="77777777" w:rsidR="000D72CD" w:rsidRDefault="00000000">
            <w:r>
              <w:t>Julie Starostka &amp; Nicolaj Jakobsen</w:t>
            </w:r>
          </w:p>
        </w:tc>
        <w:tc>
          <w:tcPr>
            <w:tcW w:w="7229" w:type="dxa"/>
          </w:tcPr>
          <w:p w14:paraId="2022E286" w14:textId="77777777" w:rsidR="000D72CD" w:rsidRPr="002135DE" w:rsidRDefault="00000000">
            <w:pPr>
              <w:rPr>
                <w:lang w:val="da-DK"/>
              </w:rPr>
            </w:pPr>
            <w:r w:rsidRPr="002135DE">
              <w:rPr>
                <w:lang w:val="da-DK"/>
              </w:rPr>
              <w:t>Overblik:</w:t>
            </w:r>
            <w:r w:rsidRPr="002135DE">
              <w:rPr>
                <w:lang w:val="da-DK"/>
              </w:rPr>
              <w:br/>
              <w:t>Fokus på aktuelle politiske sager og strategiske interesser i forbindelse med elnet og regulering.</w:t>
            </w:r>
            <w:r w:rsidRPr="002135DE">
              <w:rPr>
                <w:lang w:val="da-DK"/>
              </w:rPr>
              <w:br/>
              <w:t xml:space="preserve">Julie og Nicolaj beskriver de vigtigste sager og potentielle politiske </w:t>
            </w:r>
            <w:r w:rsidRPr="002135DE">
              <w:rPr>
                <w:lang w:val="da-DK"/>
              </w:rPr>
              <w:lastRenderedPageBreak/>
              <w:t>interesser:</w:t>
            </w:r>
            <w:r w:rsidRPr="002135DE">
              <w:rPr>
                <w:lang w:val="da-DK"/>
              </w:rPr>
              <w:br/>
              <w:t>Realkreditsagen:</w:t>
            </w:r>
            <w:r w:rsidRPr="002135DE">
              <w:rPr>
                <w:lang w:val="da-DK"/>
              </w:rPr>
              <w:br/>
              <w:t>En højaktuel og væsentlig sag for energibranchen, der kræver tæt opmærksomhed.</w:t>
            </w:r>
            <w:r w:rsidRPr="002135DE">
              <w:rPr>
                <w:lang w:val="da-DK"/>
              </w:rPr>
              <w:br/>
              <w:t>NEKST for Elnet:</w:t>
            </w:r>
            <w:r w:rsidRPr="002135DE">
              <w:rPr>
                <w:lang w:val="da-DK"/>
              </w:rPr>
              <w:br/>
              <w:t xml:space="preserve">Den endelige rapport forventes i december, og afdelingen ser frem til at gennemgå og støtte op om dens anbefalinger. Rapporten vil sandsynligvis anbefale større transparens omkring </w:t>
            </w:r>
            <w:proofErr w:type="spellStart"/>
            <w:r w:rsidRPr="002135DE">
              <w:rPr>
                <w:lang w:val="da-DK"/>
              </w:rPr>
              <w:t>netselskabernes</w:t>
            </w:r>
            <w:proofErr w:type="spellEnd"/>
            <w:r w:rsidRPr="002135DE">
              <w:rPr>
                <w:lang w:val="da-DK"/>
              </w:rPr>
              <w:t xml:space="preserve"> </w:t>
            </w:r>
            <w:proofErr w:type="spellStart"/>
            <w:r w:rsidRPr="002135DE">
              <w:rPr>
                <w:lang w:val="da-DK"/>
              </w:rPr>
              <w:t>nettilslutningstider</w:t>
            </w:r>
            <w:proofErr w:type="spellEnd"/>
            <w:r w:rsidRPr="002135DE">
              <w:rPr>
                <w:lang w:val="da-DK"/>
              </w:rPr>
              <w:t>. Der er dog usikkerhed om, hvorvidt der vil komme en klar anbefaling om, at Energinet bør fritages for VVM-screening ved kabel- og stationsprojekter. Hvis dette ikke medtages, overvejes at fremsætte det som et særskilt forslag, hvilket kan være kontroversielt.</w:t>
            </w:r>
            <w:r w:rsidRPr="002135DE">
              <w:rPr>
                <w:lang w:val="da-DK"/>
              </w:rPr>
              <w:br/>
              <w:t>Borgerenergifællesskaber:</w:t>
            </w:r>
            <w:r w:rsidRPr="002135DE">
              <w:rPr>
                <w:lang w:val="da-DK"/>
              </w:rPr>
              <w:br/>
              <w:t>En ny tarifmetode er på vej, der potentielt kan gavne borgerenergifællesskaber, hvis de samarbejder godt med infrastrukturen. Dog forventes der kritik, især fra venstrefløjen, for utilstrækkelige rabatter og begrænsninger i tariferingen.</w:t>
            </w:r>
            <w:r w:rsidRPr="002135DE">
              <w:rPr>
                <w:lang w:val="da-DK"/>
              </w:rPr>
              <w:br/>
              <w:t>Mulige Politiske Interesser:</w:t>
            </w:r>
            <w:r w:rsidRPr="002135DE">
              <w:rPr>
                <w:lang w:val="da-DK"/>
              </w:rPr>
              <w:br/>
              <w:t>Foregribende Investeringer:</w:t>
            </w:r>
            <w:r w:rsidRPr="002135DE">
              <w:rPr>
                <w:lang w:val="da-DK"/>
              </w:rPr>
              <w:br/>
              <w:t xml:space="preserve">Der er ønske om, at </w:t>
            </w:r>
            <w:proofErr w:type="spellStart"/>
            <w:r w:rsidRPr="002135DE">
              <w:rPr>
                <w:lang w:val="da-DK"/>
              </w:rPr>
              <w:t>netselskaberne</w:t>
            </w:r>
            <w:proofErr w:type="spellEnd"/>
            <w:r w:rsidRPr="002135DE">
              <w:rPr>
                <w:lang w:val="da-DK"/>
              </w:rPr>
              <w:t xml:space="preserve"> får lov at investere proaktivt via det grønne tillæg. Bekymringer fra andre erhvervsinteresser om potentielle tarifstigninger for nuværende el-forbrugere er blevet afvist af fremskrivninger, der viser, at tillægget ikke vil forårsage en stigning.</w:t>
            </w:r>
            <w:r w:rsidRPr="002135DE">
              <w:rPr>
                <w:lang w:val="da-DK"/>
              </w:rPr>
              <w:br/>
              <w:t xml:space="preserve">Indkøb af Grønt </w:t>
            </w:r>
            <w:proofErr w:type="spellStart"/>
            <w:r w:rsidRPr="002135DE">
              <w:rPr>
                <w:lang w:val="da-DK"/>
              </w:rPr>
              <w:t>Nettab</w:t>
            </w:r>
            <w:proofErr w:type="spellEnd"/>
            <w:r w:rsidRPr="002135DE">
              <w:rPr>
                <w:lang w:val="da-DK"/>
              </w:rPr>
              <w:t>:</w:t>
            </w:r>
            <w:r w:rsidRPr="002135DE">
              <w:rPr>
                <w:lang w:val="da-DK"/>
              </w:rPr>
              <w:br/>
              <w:t xml:space="preserve">Ønsker om, at </w:t>
            </w:r>
            <w:proofErr w:type="spellStart"/>
            <w:r w:rsidRPr="002135DE">
              <w:rPr>
                <w:lang w:val="da-DK"/>
              </w:rPr>
              <w:t>netselskaberne</w:t>
            </w:r>
            <w:proofErr w:type="spellEnd"/>
            <w:r w:rsidRPr="002135DE">
              <w:rPr>
                <w:lang w:val="da-DK"/>
              </w:rPr>
              <w:t xml:space="preserve"> skal kunne købe </w:t>
            </w:r>
            <w:proofErr w:type="spellStart"/>
            <w:r w:rsidRPr="002135DE">
              <w:rPr>
                <w:lang w:val="da-DK"/>
              </w:rPr>
              <w:t>nettab</w:t>
            </w:r>
            <w:proofErr w:type="spellEnd"/>
            <w:r w:rsidRPr="002135DE">
              <w:rPr>
                <w:lang w:val="da-DK"/>
              </w:rPr>
              <w:t xml:space="preserve"> via </w:t>
            </w:r>
            <w:proofErr w:type="spellStart"/>
            <w:r w:rsidRPr="002135DE">
              <w:rPr>
                <w:lang w:val="da-DK"/>
              </w:rPr>
              <w:t>PPA'er</w:t>
            </w:r>
            <w:proofErr w:type="spellEnd"/>
            <w:r w:rsidRPr="002135DE">
              <w:rPr>
                <w:lang w:val="da-DK"/>
              </w:rPr>
              <w:t xml:space="preserve"> fra dansk vedvarende energi. Dette kræver dog lovgivningsændringer og en afklaring af medlemmernes specifikke behov.</w:t>
            </w:r>
            <w:r w:rsidRPr="002135DE">
              <w:rPr>
                <w:lang w:val="da-DK"/>
              </w:rPr>
              <w:br/>
              <w:t xml:space="preserve">Tariffer for </w:t>
            </w:r>
            <w:proofErr w:type="spellStart"/>
            <w:r w:rsidRPr="002135DE">
              <w:rPr>
                <w:lang w:val="da-DK"/>
              </w:rPr>
              <w:t>Egenproducenter</w:t>
            </w:r>
            <w:proofErr w:type="spellEnd"/>
            <w:r w:rsidRPr="002135DE">
              <w:rPr>
                <w:lang w:val="da-DK"/>
              </w:rPr>
              <w:t xml:space="preserve"> og Direkte Linjer:</w:t>
            </w:r>
            <w:r w:rsidRPr="002135DE">
              <w:rPr>
                <w:lang w:val="da-DK"/>
              </w:rPr>
              <w:br/>
              <w:t>Ny tarifmetode er indsendt til godkendelse og forventes implementeret i foråret 2025. De store aktører er tilfredse med modellen, men mellemstore kunder som boligforeninger og landbrug forventes at være utilfredse.</w:t>
            </w:r>
            <w:r w:rsidRPr="002135DE">
              <w:rPr>
                <w:lang w:val="da-DK"/>
              </w:rPr>
              <w:br/>
              <w:t>Færdiggørelsen af det Grønne Tillæg:</w:t>
            </w:r>
            <w:r w:rsidRPr="002135DE">
              <w:rPr>
                <w:lang w:val="da-DK"/>
              </w:rPr>
              <w:br/>
            </w:r>
            <w:r w:rsidRPr="002135DE">
              <w:rPr>
                <w:lang w:val="da-DK"/>
              </w:rPr>
              <w:lastRenderedPageBreak/>
              <w:t>Afdelingen er uenig med oplægget til bekendtgørelsen, da det kan undergrave tillæggets effekt i de første år. Hvis dialogen med myndighederne ikke fører til en løsning, overvejes det at skabe offentlig opmærksomhed om sagen.</w:t>
            </w:r>
            <w:r w:rsidRPr="002135DE">
              <w:rPr>
                <w:lang w:val="da-DK"/>
              </w:rPr>
              <w:br/>
              <w:t>Tarifering af Batterier:</w:t>
            </w:r>
            <w:r w:rsidRPr="002135DE">
              <w:rPr>
                <w:lang w:val="da-DK"/>
              </w:rPr>
              <w:br/>
              <w:t>Batterier modtager ikke rabat under nuværende tarifregler, hvilket kan føre til politisk interesse. Afdelingen arbejder på at imødegå denne kritik og fremhæver, at nye metoder er på vej gennem tilsynet, som vil komme batterier til gode, uden at det resulterer i dobbelttarifering.</w:t>
            </w:r>
            <w:r w:rsidRPr="002135DE">
              <w:rPr>
                <w:lang w:val="da-DK"/>
              </w:rPr>
              <w:br/>
              <w:t>Geografiske Tilslutningsbidrag:</w:t>
            </w:r>
            <w:r w:rsidRPr="002135DE">
              <w:rPr>
                <w:lang w:val="da-DK"/>
              </w:rPr>
              <w:br/>
              <w:t>Metoden afventer godkendelse og vil reducere omkostningerne for tilslutninger i områder med høj produktion, især for industrielle kunder. Dog forventes kritik fra mindre kunder, der ikke vil få samme økonomiske fordele.</w:t>
            </w:r>
            <w:r w:rsidRPr="002135DE">
              <w:rPr>
                <w:lang w:val="da-DK"/>
              </w:rPr>
              <w:br/>
              <w:t>EU-regulering:</w:t>
            </w:r>
            <w:r w:rsidRPr="002135DE">
              <w:rPr>
                <w:lang w:val="da-DK"/>
              </w:rPr>
              <w:br/>
              <w:t xml:space="preserve">Der er diskussioner i EU om mulig ny regulering af </w:t>
            </w:r>
            <w:proofErr w:type="spellStart"/>
            <w:r w:rsidRPr="002135DE">
              <w:rPr>
                <w:lang w:val="da-DK"/>
              </w:rPr>
              <w:t>netselskabernes</w:t>
            </w:r>
            <w:proofErr w:type="spellEnd"/>
            <w:r w:rsidRPr="002135DE">
              <w:rPr>
                <w:lang w:val="da-DK"/>
              </w:rPr>
              <w:t xml:space="preserve"> tilslutningsbidrag. Afdelingen ønsker at bevare den danske model, hvor nye kunder bidrager til </w:t>
            </w:r>
            <w:proofErr w:type="spellStart"/>
            <w:r w:rsidRPr="002135DE">
              <w:rPr>
                <w:lang w:val="da-DK"/>
              </w:rPr>
              <w:t>netudbygningen</w:t>
            </w:r>
            <w:proofErr w:type="spellEnd"/>
            <w:r w:rsidRPr="002135DE">
              <w:rPr>
                <w:lang w:val="da-DK"/>
              </w:rPr>
              <w:t>. Sydeuropæiske lande presser på for ændringer, men der er endnu ikke politisk fokus på sagen. Green Power Denmark er opmærksomme på dette og vil arbejde for at bevare Danmarks eksisterende model.</w:t>
            </w:r>
            <w:r w:rsidRPr="002135DE">
              <w:rPr>
                <w:lang w:val="da-DK"/>
              </w:rPr>
              <w:br/>
              <w:t>Julie og Nicolaj opfordrer til yderligere dialog, hvis der er behov for afklaring eller mere information om ovenstående emner.</w:t>
            </w:r>
          </w:p>
        </w:tc>
        <w:tc>
          <w:tcPr>
            <w:tcW w:w="2410" w:type="dxa"/>
          </w:tcPr>
          <w:p w14:paraId="7558E73F" w14:textId="77777777" w:rsidR="000D72CD" w:rsidRPr="002135DE" w:rsidRDefault="00000000">
            <w:pPr>
              <w:rPr>
                <w:lang w:val="da-DK"/>
              </w:rPr>
            </w:pPr>
            <w:r w:rsidRPr="002135DE">
              <w:rPr>
                <w:lang w:val="da-DK"/>
              </w:rPr>
              <w:lastRenderedPageBreak/>
              <w:t xml:space="preserve">PA-afdelingen bemærker at der pt. foregår et internt afklaringsarbejde i </w:t>
            </w:r>
            <w:r w:rsidRPr="002135DE">
              <w:rPr>
                <w:lang w:val="da-DK"/>
              </w:rPr>
              <w:lastRenderedPageBreak/>
              <w:t xml:space="preserve">regeringen og ml. KEFM og </w:t>
            </w:r>
            <w:proofErr w:type="spellStart"/>
            <w:r w:rsidRPr="002135DE">
              <w:rPr>
                <w:lang w:val="da-DK"/>
              </w:rPr>
              <w:t>Ministeiet</w:t>
            </w:r>
            <w:proofErr w:type="spellEnd"/>
            <w:r w:rsidRPr="002135DE">
              <w:rPr>
                <w:lang w:val="da-DK"/>
              </w:rPr>
              <w:t xml:space="preserve"> for byer og landdistrikter ifm. tilgangen til Energinet og muligheden for at foretage flere eksproprieringer for hurtigere </w:t>
            </w:r>
            <w:proofErr w:type="spellStart"/>
            <w:r w:rsidRPr="002135DE">
              <w:rPr>
                <w:lang w:val="da-DK"/>
              </w:rPr>
              <w:t>udbygnig</w:t>
            </w:r>
            <w:proofErr w:type="spellEnd"/>
            <w:r w:rsidRPr="002135DE">
              <w:rPr>
                <w:lang w:val="da-DK"/>
              </w:rPr>
              <w:t>.</w:t>
            </w:r>
          </w:p>
        </w:tc>
      </w:tr>
    </w:tbl>
    <w:p w14:paraId="6621C6FE" w14:textId="77777777" w:rsidR="000D72CD" w:rsidRPr="002135DE" w:rsidRDefault="000D72CD">
      <w:pPr>
        <w:rPr>
          <w:lang w:val="da-DK"/>
        </w:rPr>
      </w:pPr>
    </w:p>
    <w:sectPr w:rsidR="000D72CD" w:rsidRPr="002135DE" w:rsidSect="002135DE">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Opstilling-talellerbogst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Opstilling-talellerbogst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Opstilling-punktteg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Opstilling-punktteg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Opstilling-talellerbogst"/>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Opstilling-punkttegn"/>
      <w:lvlText w:val=""/>
      <w:lvlJc w:val="left"/>
      <w:pPr>
        <w:tabs>
          <w:tab w:val="num" w:pos="360"/>
        </w:tabs>
        <w:ind w:left="360" w:hanging="360"/>
      </w:pPr>
      <w:rPr>
        <w:rFonts w:ascii="Symbol" w:hAnsi="Symbol" w:hint="default"/>
      </w:rPr>
    </w:lvl>
  </w:abstractNum>
  <w:num w:numId="1" w16cid:durableId="757404997">
    <w:abstractNumId w:val="8"/>
  </w:num>
  <w:num w:numId="2" w16cid:durableId="285815472">
    <w:abstractNumId w:val="6"/>
  </w:num>
  <w:num w:numId="3" w16cid:durableId="1479834665">
    <w:abstractNumId w:val="5"/>
  </w:num>
  <w:num w:numId="4" w16cid:durableId="2142534625">
    <w:abstractNumId w:val="4"/>
  </w:num>
  <w:num w:numId="5" w16cid:durableId="929697944">
    <w:abstractNumId w:val="7"/>
  </w:num>
  <w:num w:numId="6" w16cid:durableId="539324750">
    <w:abstractNumId w:val="3"/>
  </w:num>
  <w:num w:numId="7" w16cid:durableId="1495144562">
    <w:abstractNumId w:val="2"/>
  </w:num>
  <w:num w:numId="8" w16cid:durableId="214125647">
    <w:abstractNumId w:val="1"/>
  </w:num>
  <w:num w:numId="9" w16cid:durableId="247154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2CD"/>
    <w:rsid w:val="0015074B"/>
    <w:rsid w:val="002135DE"/>
    <w:rsid w:val="0029639D"/>
    <w:rsid w:val="00326F90"/>
    <w:rsid w:val="0075719E"/>
    <w:rsid w:val="00867D0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9C5EA3"/>
  <w14:defaultImageDpi w14:val="330"/>
  <w15:docId w15:val="{8A733D5C-D720-4E46-A027-3D4AFE7E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Overskrift1">
    <w:name w:val="heading 1"/>
    <w:basedOn w:val="Normal"/>
    <w:next w:val="Normal"/>
    <w:link w:val="Overskrift1Teg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Overskrift9">
    <w:name w:val="heading 9"/>
    <w:basedOn w:val="Normal"/>
    <w:next w:val="Normal"/>
    <w:link w:val="Overskrift9Teg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618BF"/>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E618BF"/>
  </w:style>
  <w:style w:type="paragraph" w:styleId="Sidefod">
    <w:name w:val="footer"/>
    <w:basedOn w:val="Normal"/>
    <w:link w:val="SidefodTegn"/>
    <w:uiPriority w:val="99"/>
    <w:unhideWhenUsed/>
    <w:rsid w:val="00E618BF"/>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E618BF"/>
  </w:style>
  <w:style w:type="paragraph" w:styleId="Ingenafstand">
    <w:name w:val="No Spacing"/>
    <w:uiPriority w:val="1"/>
    <w:qFormat/>
    <w:rsid w:val="00FC693F"/>
    <w:pPr>
      <w:spacing w:after="0" w:line="240" w:lineRule="auto"/>
    </w:pPr>
  </w:style>
  <w:style w:type="character" w:customStyle="1" w:styleId="Overskrift1Tegn">
    <w:name w:val="Overskrift 1 Tegn"/>
    <w:basedOn w:val="Standardskrifttypeiafsnit"/>
    <w:link w:val="Oversk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FC693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FC693F"/>
    <w:rPr>
      <w:rFonts w:asciiTheme="majorHAnsi" w:eastAsiaTheme="majorEastAsia" w:hAnsiTheme="majorHAnsi" w:cstheme="majorBidi"/>
      <w:b/>
      <w:bCs/>
      <w:color w:val="4F81BD" w:themeColor="accent1"/>
    </w:rPr>
  </w:style>
  <w:style w:type="paragraph" w:styleId="Titel">
    <w:name w:val="Title"/>
    <w:basedOn w:val="Normal"/>
    <w:next w:val="Normal"/>
    <w:link w:val="TitelTeg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afsnit">
    <w:name w:val="List Paragraph"/>
    <w:basedOn w:val="Normal"/>
    <w:uiPriority w:val="34"/>
    <w:qFormat/>
    <w:rsid w:val="00FC693F"/>
    <w:pPr>
      <w:ind w:left="720"/>
      <w:contextualSpacing/>
    </w:pPr>
  </w:style>
  <w:style w:type="paragraph" w:styleId="Brdtekst">
    <w:name w:val="Body Text"/>
    <w:basedOn w:val="Normal"/>
    <w:link w:val="BrdtekstTegn"/>
    <w:uiPriority w:val="99"/>
    <w:unhideWhenUsed/>
    <w:rsid w:val="00AA1D8D"/>
    <w:pPr>
      <w:spacing w:after="120"/>
    </w:pPr>
  </w:style>
  <w:style w:type="character" w:customStyle="1" w:styleId="BrdtekstTegn">
    <w:name w:val="Brødtekst Tegn"/>
    <w:basedOn w:val="Standardskrifttypeiafsnit"/>
    <w:link w:val="Brdtekst"/>
    <w:uiPriority w:val="99"/>
    <w:rsid w:val="00AA1D8D"/>
  </w:style>
  <w:style w:type="paragraph" w:styleId="Brdtekst2">
    <w:name w:val="Body Text 2"/>
    <w:basedOn w:val="Normal"/>
    <w:link w:val="Brdtekst2Tegn"/>
    <w:uiPriority w:val="99"/>
    <w:unhideWhenUsed/>
    <w:rsid w:val="00AA1D8D"/>
    <w:pPr>
      <w:spacing w:after="120" w:line="480" w:lineRule="auto"/>
    </w:pPr>
  </w:style>
  <w:style w:type="character" w:customStyle="1" w:styleId="Brdtekst2Tegn">
    <w:name w:val="Brødtekst 2 Tegn"/>
    <w:basedOn w:val="Standardskrifttypeiafsnit"/>
    <w:link w:val="Brdtekst2"/>
    <w:uiPriority w:val="99"/>
    <w:rsid w:val="00AA1D8D"/>
  </w:style>
  <w:style w:type="paragraph" w:styleId="Brdtekst3">
    <w:name w:val="Body Text 3"/>
    <w:basedOn w:val="Normal"/>
    <w:link w:val="Brdtekst3Tegn"/>
    <w:uiPriority w:val="99"/>
    <w:unhideWhenUsed/>
    <w:rsid w:val="00AA1D8D"/>
    <w:pPr>
      <w:spacing w:after="120"/>
    </w:pPr>
    <w:rPr>
      <w:sz w:val="16"/>
      <w:szCs w:val="16"/>
    </w:rPr>
  </w:style>
  <w:style w:type="character" w:customStyle="1" w:styleId="Brdtekst3Tegn">
    <w:name w:val="Brødtekst 3 Tegn"/>
    <w:basedOn w:val="Standardskrifttypeiafsnit"/>
    <w:link w:val="Brdtekst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Opstilling-punkttegn">
    <w:name w:val="List Bullet"/>
    <w:basedOn w:val="Normal"/>
    <w:uiPriority w:val="99"/>
    <w:unhideWhenUsed/>
    <w:rsid w:val="00326F90"/>
    <w:pPr>
      <w:numPr>
        <w:numId w:val="1"/>
      </w:numPr>
      <w:contextualSpacing/>
    </w:pPr>
  </w:style>
  <w:style w:type="paragraph" w:styleId="Opstilling-punkttegn2">
    <w:name w:val="List Bullet 2"/>
    <w:basedOn w:val="Normal"/>
    <w:uiPriority w:val="99"/>
    <w:unhideWhenUsed/>
    <w:rsid w:val="00326F90"/>
    <w:pPr>
      <w:numPr>
        <w:numId w:val="2"/>
      </w:numPr>
      <w:contextualSpacing/>
    </w:pPr>
  </w:style>
  <w:style w:type="paragraph" w:styleId="Opstilling-punkttegn3">
    <w:name w:val="List Bullet 3"/>
    <w:basedOn w:val="Normal"/>
    <w:uiPriority w:val="99"/>
    <w:unhideWhenUsed/>
    <w:rsid w:val="00326F90"/>
    <w:pPr>
      <w:numPr>
        <w:numId w:val="3"/>
      </w:numPr>
      <w:contextualSpacing/>
    </w:pPr>
  </w:style>
  <w:style w:type="paragraph" w:styleId="Opstilling-talellerbogst">
    <w:name w:val="List Number"/>
    <w:basedOn w:val="Normal"/>
    <w:uiPriority w:val="99"/>
    <w:unhideWhenUsed/>
    <w:rsid w:val="00326F90"/>
    <w:pPr>
      <w:numPr>
        <w:numId w:val="5"/>
      </w:numPr>
      <w:contextualSpacing/>
    </w:pPr>
  </w:style>
  <w:style w:type="paragraph" w:styleId="Opstilling-talellerbogst2">
    <w:name w:val="List Number 2"/>
    <w:basedOn w:val="Normal"/>
    <w:uiPriority w:val="99"/>
    <w:unhideWhenUsed/>
    <w:rsid w:val="0029639D"/>
    <w:pPr>
      <w:numPr>
        <w:numId w:val="6"/>
      </w:numPr>
      <w:contextualSpacing/>
    </w:pPr>
  </w:style>
  <w:style w:type="paragraph" w:styleId="Opstilling-talellerbogst3">
    <w:name w:val="List Number 3"/>
    <w:basedOn w:val="Normal"/>
    <w:uiPriority w:val="99"/>
    <w:unhideWhenUsed/>
    <w:rsid w:val="0029639D"/>
    <w:pPr>
      <w:numPr>
        <w:numId w:val="7"/>
      </w:numPr>
      <w:contextualSpacing/>
    </w:pPr>
  </w:style>
  <w:style w:type="paragraph" w:styleId="Opstilling-forts">
    <w:name w:val="List Continue"/>
    <w:basedOn w:val="Normal"/>
    <w:uiPriority w:val="99"/>
    <w:unhideWhenUsed/>
    <w:rsid w:val="0029639D"/>
    <w:pPr>
      <w:spacing w:after="120"/>
      <w:ind w:left="360"/>
      <w:contextualSpacing/>
    </w:pPr>
  </w:style>
  <w:style w:type="paragraph" w:styleId="Opstilling-forts2">
    <w:name w:val="List Continue 2"/>
    <w:basedOn w:val="Normal"/>
    <w:uiPriority w:val="99"/>
    <w:unhideWhenUsed/>
    <w:rsid w:val="0029639D"/>
    <w:pPr>
      <w:spacing w:after="120"/>
      <w:ind w:left="720"/>
      <w:contextualSpacing/>
    </w:pPr>
  </w:style>
  <w:style w:type="paragraph" w:styleId="Opstilling-forts3">
    <w:name w:val="List Continue 3"/>
    <w:basedOn w:val="Normal"/>
    <w:uiPriority w:val="99"/>
    <w:unhideWhenUsed/>
    <w:rsid w:val="0029639D"/>
    <w:pPr>
      <w:spacing w:after="120"/>
      <w:ind w:left="1080"/>
      <w:contextualSpacing/>
    </w:pPr>
  </w:style>
  <w:style w:type="paragraph" w:styleId="Makrotekst">
    <w:name w:val="macro"/>
    <w:link w:val="MakrotekstTeg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kstTegn">
    <w:name w:val="Makrotekst Tegn"/>
    <w:basedOn w:val="Standardskrifttypeiafsnit"/>
    <w:link w:val="Makrotekst"/>
    <w:uiPriority w:val="99"/>
    <w:rsid w:val="0029639D"/>
    <w:rPr>
      <w:rFonts w:ascii="Courier" w:hAnsi="Courier"/>
      <w:sz w:val="20"/>
      <w:szCs w:val="20"/>
    </w:rPr>
  </w:style>
  <w:style w:type="paragraph" w:styleId="Citat">
    <w:name w:val="Quote"/>
    <w:basedOn w:val="Normal"/>
    <w:next w:val="Normal"/>
    <w:link w:val="CitatTegn"/>
    <w:uiPriority w:val="29"/>
    <w:qFormat/>
    <w:rsid w:val="00FC693F"/>
    <w:rPr>
      <w:i/>
      <w:iCs/>
      <w:color w:val="000000" w:themeColor="text1"/>
    </w:rPr>
  </w:style>
  <w:style w:type="character" w:customStyle="1" w:styleId="CitatTegn">
    <w:name w:val="Citat Tegn"/>
    <w:basedOn w:val="Standardskrifttypeiafsnit"/>
    <w:link w:val="Citat"/>
    <w:uiPriority w:val="29"/>
    <w:rsid w:val="00FC693F"/>
    <w:rPr>
      <w:i/>
      <w:iCs/>
      <w:color w:val="000000" w:themeColor="text1"/>
    </w:rPr>
  </w:style>
  <w:style w:type="character" w:customStyle="1" w:styleId="Overskrift4Tegn">
    <w:name w:val="Overskrift 4 Tegn"/>
    <w:basedOn w:val="Standardskrifttypeiafsnit"/>
    <w:link w:val="Overskrift4"/>
    <w:uiPriority w:val="9"/>
    <w:semiHidden/>
    <w:rsid w:val="00FC693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C693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C693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C693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C693F"/>
    <w:rPr>
      <w:rFonts w:asciiTheme="majorHAnsi" w:eastAsiaTheme="majorEastAsia" w:hAnsiTheme="majorHAnsi" w:cstheme="majorBidi"/>
      <w:color w:val="4F81BD" w:themeColor="accent1"/>
      <w:sz w:val="20"/>
      <w:szCs w:val="20"/>
    </w:rPr>
  </w:style>
  <w:style w:type="character" w:customStyle="1" w:styleId="Overskrift9Tegn">
    <w:name w:val="Overskrift 9 Tegn"/>
    <w:basedOn w:val="Standardskrifttypeiafsnit"/>
    <w:link w:val="Oversk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k">
    <w:name w:val="Strong"/>
    <w:basedOn w:val="Standardskrifttypeiafsnit"/>
    <w:uiPriority w:val="22"/>
    <w:qFormat/>
    <w:rsid w:val="00FC693F"/>
    <w:rPr>
      <w:b/>
      <w:bCs/>
    </w:rPr>
  </w:style>
  <w:style w:type="character" w:styleId="Fremhv">
    <w:name w:val="Emphasis"/>
    <w:basedOn w:val="Standardskrifttypeiafsnit"/>
    <w:uiPriority w:val="20"/>
    <w:qFormat/>
    <w:rsid w:val="00FC693F"/>
    <w:rPr>
      <w:i/>
      <w:iCs/>
    </w:rPr>
  </w:style>
  <w:style w:type="paragraph" w:styleId="Strktcitat">
    <w:name w:val="Intense Quote"/>
    <w:basedOn w:val="Normal"/>
    <w:next w:val="Normal"/>
    <w:link w:val="StrktcitatTeg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C693F"/>
    <w:rPr>
      <w:b/>
      <w:bCs/>
      <w:i/>
      <w:iCs/>
      <w:color w:val="4F81BD" w:themeColor="accent1"/>
    </w:rPr>
  </w:style>
  <w:style w:type="character" w:styleId="Svagfremhvning">
    <w:name w:val="Subtle Emphasis"/>
    <w:basedOn w:val="Standardskrifttypeiafsnit"/>
    <w:uiPriority w:val="19"/>
    <w:qFormat/>
    <w:rsid w:val="00FC693F"/>
    <w:rPr>
      <w:i/>
      <w:iCs/>
      <w:color w:val="808080" w:themeColor="text1" w:themeTint="7F"/>
    </w:rPr>
  </w:style>
  <w:style w:type="character" w:styleId="Kraftigfremhvning">
    <w:name w:val="Intense Emphasis"/>
    <w:basedOn w:val="Standardskrifttypeiafsnit"/>
    <w:uiPriority w:val="21"/>
    <w:qFormat/>
    <w:rsid w:val="00FC693F"/>
    <w:rPr>
      <w:b/>
      <w:bCs/>
      <w:i/>
      <w:iCs/>
      <w:color w:val="4F81BD" w:themeColor="accent1"/>
    </w:rPr>
  </w:style>
  <w:style w:type="character" w:styleId="Svaghenvisning">
    <w:name w:val="Subtle Reference"/>
    <w:basedOn w:val="Standardskrifttypeiafsnit"/>
    <w:uiPriority w:val="31"/>
    <w:qFormat/>
    <w:rsid w:val="00FC693F"/>
    <w:rPr>
      <w:smallCaps/>
      <w:color w:val="C0504D" w:themeColor="accent2"/>
      <w:u w:val="single"/>
    </w:rPr>
  </w:style>
  <w:style w:type="character" w:styleId="Kraftighenvisning">
    <w:name w:val="Intense Reference"/>
    <w:basedOn w:val="Standardskrifttypeiafsnit"/>
    <w:uiPriority w:val="32"/>
    <w:qFormat/>
    <w:rsid w:val="00FC693F"/>
    <w:rPr>
      <w:b/>
      <w:bCs/>
      <w:smallCaps/>
      <w:color w:val="C0504D" w:themeColor="accent2"/>
      <w:spacing w:val="5"/>
      <w:u w:val="single"/>
    </w:rPr>
  </w:style>
  <w:style w:type="character" w:styleId="Bogenstitel">
    <w:name w:val="Book Title"/>
    <w:basedOn w:val="Standardskrifttypeiafsnit"/>
    <w:uiPriority w:val="33"/>
    <w:qFormat/>
    <w:rsid w:val="00FC693F"/>
    <w:rPr>
      <w:b/>
      <w:bCs/>
      <w:smallCaps/>
      <w:spacing w:val="5"/>
    </w:rPr>
  </w:style>
  <w:style w:type="paragraph" w:styleId="Overskrift">
    <w:name w:val="TOC Heading"/>
    <w:basedOn w:val="Overskrift1"/>
    <w:next w:val="Normal"/>
    <w:uiPriority w:val="39"/>
    <w:semiHidden/>
    <w:unhideWhenUsed/>
    <w:qFormat/>
    <w:rsid w:val="00FC693F"/>
    <w:pPr>
      <w:outlineLvl w:val="9"/>
    </w:pPr>
  </w:style>
  <w:style w:type="table" w:styleId="Tabel-Gitter">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ysskygge">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arve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ysskygge-fremhvningsfarve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fremhvningsfarve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fremhvningsfarve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fremhvningsfarve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skygge-fremhvningsfarve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liste">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arve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liste-fremhvningsfarve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fremhvningsfarve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fremhvningsfarve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fremhvningsfarve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fremhvningsfarve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ystgitter">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arve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ystgitter-fremhvningsfarve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ystgitter-fremhvningsfarve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ystgitter-fremhvningsfarve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ystgitter-fremhvningsfarve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gitter-fremhvningsfarve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kygge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e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arve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e1-fremhvningsfarve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e1-fremhvningsfarve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e1-fremhvningsfarve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e1-fremhvningsfarve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e1-fremhvningsfarve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e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itter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itter1-fremhvningsfarve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itter1-fremhvningsfarve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itter1-fremhvningsfarve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itter1-fremhvningsfarve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itter1-fremhvningsfarve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itter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itter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itter3-fremhvningsfarve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itter3-fremhvningsfarve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itter3-fremhvningsfarve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e">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e-fremhvningsfarve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e-fremhvningsfarve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e-fremhvningsfarve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e-fremhvningsfarve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e-fremhvningsfarve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vetskygge">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vetskygge-fremhvningsfarve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vetliste">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vetliste-fremhvningsfarve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vetliste-fremhvningsfarve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vetliste-fremhvningsfarve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vetliste-fremhvningsfarve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vetliste-fremhvningsfarve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vetgitter">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vetgitter-fremhvningsfarve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vetgitter-fremhvningsfarve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vetgitter-fremhvningsfarve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vetgitter-fremhvningsfarve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vetgitter-fremhvningsfarve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2488</Words>
  <Characters>15180</Characters>
  <Application>Microsoft Office Word</Application>
  <DocSecurity>0</DocSecurity>
  <Lines>126</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Ruben Kidde</cp:lastModifiedBy>
  <cp:revision>2</cp:revision>
  <dcterms:created xsi:type="dcterms:W3CDTF">2013-12-23T23:15:00Z</dcterms:created>
  <dcterms:modified xsi:type="dcterms:W3CDTF">2024-11-06T12:28:00Z</dcterms:modified>
  <cp:category/>
</cp:coreProperties>
</file>